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0"/>
        <w:jc w:val="center"/>
      </w:pPr>
      <w:r>
        <w:rPr>
          <w:rFonts w:ascii="Arial" w:cs="Arial" w:eastAsia="Arial" w:hAnsi="Arial"/>
          <w:b/>
          <w:bCs/>
          <w:color w:val="00796B"/>
          <w:sz w:val="52"/>
          <w:szCs w:val="52"/>
        </w:rPr>
        <w:t xml:space="preserve">ACCESIBILIDAD EN MOVIMIENTO</w:t>
      </w:r>
    </w:p>
    <w:p>
      <w:pPr>
        <w:spacing w:after="80" w:before="0"/>
        <w:jc w:val="center"/>
      </w:pPr>
      <w:r>
        <w:rPr>
          <w:rFonts w:ascii="Arial" w:cs="Arial" w:eastAsia="Arial" w:hAnsi="Arial"/>
          <w:b/>
          <w:bCs/>
          <w:color w:val="FF6F00"/>
          <w:sz w:val="36"/>
          <w:szCs w:val="36"/>
        </w:rPr>
        <w:t xml:space="preserve">AMO AC</w:t>
      </w:r>
    </w:p>
    <w:p>
      <w:pPr>
        <w:pBdr>
          <w:bottom w:val="single" w:color="B2DFDB" w:sz="6" w:space="8"/>
        </w:pBdr>
        <w:spacing w:after="80" w:before="160"/>
        <w:jc w:val="center"/>
      </w:pPr>
      <w:r>
        <w:rPr>
          <w:sz w:val="22"/>
          <w:szCs w:val="22"/>
        </w:rPr>
        <w:t xml:space="preserve"> </w:t>
      </w:r>
    </w:p>
    <w:p>
      <w:pPr>
        <w:spacing w:after="120" w:before="0"/>
      </w:pPr>
      <w:r>
        <w:t xml:space="preserve"/>
      </w:r>
    </w:p>
    <w:p>
      <w:pPr>
        <w:spacing w:after="100" w:before="200"/>
        <w:jc w:val="center"/>
      </w:pPr>
      <w:r>
        <w:rPr>
          <w:rFonts w:ascii="Arial" w:cs="Arial" w:eastAsia="Arial" w:hAnsi="Arial"/>
          <w:b/>
          <w:bCs/>
          <w:color w:val="424242"/>
          <w:sz w:val="40"/>
          <w:szCs w:val="40"/>
        </w:rPr>
        <w:t xml:space="preserve">REPORTE DE AVANCES</w:t>
      </w:r>
    </w:p>
    <w:p>
      <w:pPr>
        <w:spacing w:after="60" w:before="0"/>
        <w:jc w:val="center"/>
      </w:pPr>
      <w:r>
        <w:rPr>
          <w:rFonts w:ascii="Arial" w:cs="Arial" w:eastAsia="Arial" w:hAnsi="Arial"/>
          <w:color w:val="666666"/>
          <w:sz w:val="28"/>
          <w:szCs w:val="28"/>
        </w:rPr>
        <w:t xml:space="preserve">Enero – Junio 2026</w:t>
      </w:r>
    </w:p>
    <w:p>
      <w:pPr>
        <w:spacing w:after="120" w:before="0"/>
      </w:pPr>
      <w:r>
        <w:t xml:space="preserve"/>
      </w:r>
    </w:p>
    <w:p>
      <w:pPr>
        <w:spacing w:after="60" w:before="0"/>
        <w:jc w:val="center"/>
      </w:pPr>
      <w:r>
        <w:rPr>
          <w:rFonts w:ascii="Arial" w:cs="Arial" w:eastAsia="Arial" w:hAnsi="Arial"/>
          <w:i/>
          <w:iCs/>
          <w:color w:val="888888"/>
          <w:sz w:val="22"/>
          <w:szCs w:val="22"/>
        </w:rPr>
        <w:t xml:space="preserve">Preparado para los Asociados de AMO AC</w:t>
      </w:r>
    </w:p>
    <w:p>
      <w:pPr>
        <w:spacing w:after="60" w:before="0"/>
        <w:jc w:val="center"/>
      </w:pPr>
      <w:r>
        <w:rPr>
          <w:rFonts w:ascii="Arial" w:cs="Arial" w:eastAsia="Arial" w:hAnsi="Arial"/>
          <w:color w:val="888888"/>
          <w:sz w:val="22"/>
          <w:szCs w:val="22"/>
        </w:rPr>
        <w:t xml:space="preserve">Junio 2026</w:t>
      </w:r>
    </w:p>
    <w:p>
      <w:pPr>
        <w:spacing w:after="480" w:before="0"/>
      </w:pPr>
      <w:r>
        <w:t xml:space="preserve"/>
      </w:r>
    </w:p>
    <w:p>
      <w:r>
        <w:br w:type="page"/>
      </w:r>
    </w:p>
    <w:p>
      <w:pPr>
        <w:pStyle w:val="Heading1"/>
        <w:pBdr>
          <w:bottom w:val="single" w:color="00796B" w:sz="8" w:space="4"/>
        </w:pBdr>
        <w:spacing w:after="160" w:before="400"/>
      </w:pPr>
      <w:r>
        <w:rPr>
          <w:rFonts w:ascii="Arial" w:cs="Arial" w:eastAsia="Arial" w:hAnsi="Arial"/>
          <w:b/>
          <w:bCs/>
          <w:color w:val="00796B"/>
          <w:sz w:val="32"/>
          <w:szCs w:val="32"/>
        </w:rPr>
        <w:t xml:space="preserve">Mensaje Introductorio</w:t>
      </w:r>
    </w:p>
    <w:p>
      <w:pPr>
        <w:spacing w:after="100" w:before="60"/>
      </w:pPr>
      <w:r>
        <w:rPr>
          <w:rFonts w:ascii="Arial" w:cs="Arial" w:eastAsia="Arial" w:hAnsi="Arial"/>
          <w:color w:val="424242"/>
          <w:sz w:val="22"/>
          <w:szCs w:val="22"/>
        </w:rPr>
        <w:t xml:space="preserve">El presente reporte tiene como propósito comunicar a los asociados de Accesibilidad en Movimiento (AMO AC) los avances, logros y actividades realizadas desde el inicio formal de operaciones en enero de 2026 hasta la fecha de emisión de este documento.</w:t>
      </w:r>
    </w:p>
    <w:p>
      <w:pPr>
        <w:spacing w:after="100" w:before="60"/>
      </w:pPr>
      <w:r>
        <w:rPr>
          <w:rFonts w:ascii="Arial" w:cs="Arial" w:eastAsia="Arial" w:hAnsi="Arial"/>
          <w:color w:val="424242"/>
          <w:sz w:val="22"/>
          <w:szCs w:val="22"/>
        </w:rPr>
        <w:t xml:space="preserve">A partir de la Asamblea Anual celebrada el 12 de marzo de 2026, la organización dio un paso decisivo hacia la profesionalización y estructuración de sus procesos. En esa sesión se definieron la visión institucional, las estrategias prioritarias y los planes a corto plazo, y se sumaron al equipo dos colaboradoras clave: Carmen Coronado en el área de gestión y administración, y Marisa Cano en el área de comunicación y redes.</w:t>
      </w:r>
    </w:p>
    <w:p>
      <w:pPr>
        <w:spacing w:after="100" w:before="60"/>
      </w:pPr>
      <w:r>
        <w:rPr>
          <w:rFonts w:ascii="Arial" w:cs="Arial" w:eastAsia="Arial" w:hAnsi="Arial"/>
          <w:color w:val="424242"/>
          <w:sz w:val="22"/>
          <w:szCs w:val="22"/>
        </w:rPr>
        <w:t xml:space="preserve">Desde entonces, el trabajo ha avanzado en múltiples frentes de manera simultánea: la consolidación de nuestra identidad de marca, la formalización de nuestra presencia digital, el desarrollo de alianzas académicas, la habilitación de mecanismos de recaudación de fondos y el inicio del proceso para obtener la figura de donataria autorizada ante el SAT. Todo ello, con la convicción de que una organización bien estructurada es la base para generar un impacto real y sostenible en la vida de las personas con discapacidad motriz.</w:t>
      </w:r>
    </w:p>
    <w:p>
      <w:pPr>
        <w:spacing w:after="120" w:before="0"/>
      </w:pPr>
      <w:r>
        <w:t xml:space="preserve"/>
      </w:r>
    </w:p>
    <w:p>
      <w:pPr>
        <w:pStyle w:val="Heading1"/>
        <w:pBdr>
          <w:bottom w:val="single" w:color="00796B" w:sz="8" w:space="4"/>
        </w:pBdr>
        <w:spacing w:after="160" w:before="400"/>
      </w:pPr>
      <w:r>
        <w:rPr>
          <w:rFonts w:ascii="Arial" w:cs="Arial" w:eastAsia="Arial" w:hAnsi="Arial"/>
          <w:b/>
          <w:bCs/>
          <w:color w:val="00796B"/>
          <w:sz w:val="32"/>
          <w:szCs w:val="32"/>
        </w:rPr>
        <w:t xml:space="preserve">Equipo de Trabajo</w:t>
      </w:r>
    </w:p>
    <w:p>
      <w:pPr>
        <w:spacing w:after="100" w:before="60"/>
      </w:pPr>
      <w:r>
        <w:rPr>
          <w:rFonts w:ascii="Arial" w:cs="Arial" w:eastAsia="Arial" w:hAnsi="Arial"/>
          <w:color w:val="424242"/>
          <w:sz w:val="22"/>
          <w:szCs w:val="22"/>
        </w:rPr>
        <w:t xml:space="preserve">El equipo de AMO AC está integrado por los siguientes colaboradores y asociados:</w:t>
      </w:r>
    </w:p>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360"/>
      </w:tblGrid>
      <w:tr>
        <w:tc>
          <w:tcPr>
            <w:tcW w:type="dxa" w:w="280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r>
              <w:rPr>
                <w:rFonts w:ascii="Arial" w:cs="Arial" w:eastAsia="Arial" w:hAnsi="Arial"/>
                <w:b/>
                <w:bCs/>
                <w:color w:val="FFFFFF"/>
                <w:sz w:val="21"/>
                <w:szCs w:val="21"/>
              </w:rPr>
              <w:t xml:space="preserve">Nombre</w:t>
            </w:r>
          </w:p>
        </w:tc>
        <w:tc>
          <w:tcPr>
            <w:tcW w:type="dxa" w:w="320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r>
              <w:rPr>
                <w:rFonts w:ascii="Arial" w:cs="Arial" w:eastAsia="Arial" w:hAnsi="Arial"/>
                <w:b/>
                <w:bCs/>
                <w:color w:val="FFFFFF"/>
                <w:sz w:val="21"/>
                <w:szCs w:val="21"/>
              </w:rPr>
              <w:t xml:space="preserve">Rol / Área</w:t>
            </w:r>
          </w:p>
        </w:tc>
        <w:tc>
          <w:tcPr>
            <w:tcW w:type="dxa" w:w="336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r>
              <w:rPr>
                <w:rFonts w:ascii="Arial" w:cs="Arial" w:eastAsia="Arial" w:hAnsi="Arial"/>
                <w:b/>
                <w:bCs/>
                <w:color w:val="FFFFFF"/>
                <w:sz w:val="21"/>
                <w:szCs w:val="21"/>
              </w:rPr>
              <w:t xml:space="preserve">Incorporación</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424242"/>
                <w:sz w:val="21"/>
                <w:szCs w:val="21"/>
              </w:rPr>
              <w:t xml:space="preserve">Bertín Zavala</w:t>
            </w:r>
          </w:p>
        </w:tc>
        <w:tc>
          <w:tcPr>
            <w:tcW w:type="dxa" w:w="32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Dirección y supervisión general</w:t>
            </w:r>
          </w:p>
        </w:tc>
        <w:tc>
          <w:tcPr>
            <w:tcW w:type="dxa" w:w="3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Fundador</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424242"/>
                <w:sz w:val="21"/>
                <w:szCs w:val="21"/>
              </w:rPr>
              <w:t xml:space="preserve">Patricia Martínez</w:t>
            </w:r>
          </w:p>
        </w:tc>
        <w:tc>
          <w:tcPr>
            <w:tcW w:type="dxa" w:w="32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Relaciones públicas</w:t>
            </w:r>
          </w:p>
        </w:tc>
        <w:tc>
          <w:tcPr>
            <w:tcW w:type="dxa" w:w="3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Fundadora</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424242"/>
                <w:sz w:val="21"/>
                <w:szCs w:val="21"/>
              </w:rPr>
              <w:t xml:space="preserve">Giuliana Gallardo</w:t>
            </w:r>
          </w:p>
        </w:tc>
        <w:tc>
          <w:tcPr>
            <w:tcW w:type="dxa" w:w="32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Coordinación operativa</w:t>
            </w:r>
          </w:p>
        </w:tc>
        <w:tc>
          <w:tcPr>
            <w:tcW w:type="dxa" w:w="33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Fundadora</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424242"/>
                <w:sz w:val="21"/>
                <w:szCs w:val="21"/>
              </w:rPr>
              <w:t xml:space="preserve">Carmen Coronado</w:t>
            </w:r>
          </w:p>
        </w:tc>
        <w:tc>
          <w:tcPr>
            <w:tcW w:type="dxa" w:w="32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Gestión y Administración (ISO 9001)</w:t>
            </w:r>
          </w:p>
        </w:tc>
        <w:tc>
          <w:tcPr>
            <w:tcW w:type="dxa" w:w="3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Marzo 2026 — Asamblea Anual</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424242"/>
                <w:sz w:val="21"/>
                <w:szCs w:val="21"/>
              </w:rPr>
              <w:t xml:space="preserve">Marisa Cano</w:t>
            </w:r>
          </w:p>
        </w:tc>
        <w:tc>
          <w:tcPr>
            <w:tcW w:type="dxa" w:w="32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Comunicación, Redes y Branding</w:t>
            </w:r>
          </w:p>
        </w:tc>
        <w:tc>
          <w:tcPr>
            <w:tcW w:type="dxa" w:w="33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Marzo 2026 — Asamblea Anual</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424242"/>
                <w:sz w:val="21"/>
                <w:szCs w:val="21"/>
              </w:rPr>
              <w:t xml:space="preserve">Fátima Núñez</w:t>
            </w:r>
          </w:p>
        </w:tc>
        <w:tc>
          <w:tcPr>
            <w:tcW w:type="dxa" w:w="32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Diseño y Gestión de Redes / Voluntariado</w:t>
            </w:r>
          </w:p>
        </w:tc>
        <w:tc>
          <w:tcPr>
            <w:tcW w:type="dxa" w:w="3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Incorporación reciente</w:t>
            </w:r>
          </w:p>
        </w:tc>
      </w:tr>
    </w:tbl>
    <w:p>
      <w:pPr>
        <w:spacing w:after="240" w:before="0"/>
      </w:pPr>
      <w:r>
        <w:t xml:space="preserve"/>
      </w:r>
    </w:p>
    <w:p>
      <w:r>
        <w:br w:type="page"/>
      </w:r>
    </w:p>
    <w:p>
      <w:pPr>
        <w:pStyle w:val="Heading1"/>
        <w:pBdr>
          <w:bottom w:val="single" w:color="00796B" w:sz="8" w:space="4"/>
        </w:pBdr>
        <w:spacing w:after="160" w:before="400"/>
      </w:pPr>
      <w:r>
        <w:rPr>
          <w:rFonts w:ascii="Arial" w:cs="Arial" w:eastAsia="Arial" w:hAnsi="Arial"/>
          <w:b/>
          <w:bCs/>
          <w:color w:val="00796B"/>
          <w:sz w:val="32"/>
          <w:szCs w:val="32"/>
        </w:rPr>
        <w:t xml:space="preserve">1. Gestión y Administración</w:t>
      </w:r>
    </w:p>
    <w:p>
      <w:pPr>
        <w:pStyle w:val="Heading2"/>
        <w:spacing w:after="120" w:before="320"/>
      </w:pPr>
      <w:r>
        <w:rPr>
          <w:rFonts w:ascii="Arial" w:cs="Arial" w:eastAsia="Arial" w:hAnsi="Arial"/>
          <w:b/>
          <w:bCs/>
          <w:color w:val="00796B"/>
          <w:sz w:val="26"/>
          <w:szCs w:val="26"/>
        </w:rPr>
        <w:t xml:space="preserve">1.1 Sistema de Gestión Documental (ISO 9001)</w:t>
      </w:r>
    </w:p>
    <w:p>
      <w:pPr>
        <w:spacing w:after="100" w:before="60"/>
      </w:pPr>
      <w:r>
        <w:rPr>
          <w:rFonts w:ascii="Arial" w:cs="Arial" w:eastAsia="Arial" w:hAnsi="Arial"/>
          <w:color w:val="424242"/>
          <w:sz w:val="22"/>
          <w:szCs w:val="22"/>
        </w:rPr>
        <w:t xml:space="preserve">Bajo el liderazgo de Carmen Coronado, se diseñó e implementó un sistema de gestión organizacional alineado a los lineamientos de la norma ISO 9001. El objetivo principal es garantizar el orden, la trazabilidad y el control de toda la documentación institucional, preparando a AMO AC para posibles auditorías y para un crecimiento ordenado.</w:t>
      </w:r>
    </w:p>
    <w:p>
      <w:pPr>
        <w:spacing w:after="120" w:before="0"/>
      </w:pPr>
      <w:r>
        <w:t xml:space="preserve"/>
      </w:r>
    </w:p>
    <w:p>
      <w:pPr>
        <w:spacing w:after="80" w:before="200"/>
      </w:pPr>
      <w:r>
        <w:rPr>
          <w:rFonts w:ascii="Arial" w:cs="Arial" w:eastAsia="Arial" w:hAnsi="Arial"/>
          <w:b/>
          <w:bCs/>
          <w:color w:val="424242"/>
          <w:sz w:val="24"/>
          <w:szCs w:val="24"/>
        </w:rPr>
        <w:t xml:space="preserve">Principales logros:</w:t>
      </w:r>
    </w:p>
    <w:p>
      <w:pPr>
        <w:pStyle w:val="ListParagraph"/>
        <w:numPr>
          <w:ilvl w:val="0"/>
          <w:numId w:val="2"/>
        </w:numPr>
        <w:spacing w:after="80" w:before="40"/>
      </w:pPr>
      <w:r>
        <w:rPr>
          <w:rFonts w:ascii="Arial" w:cs="Arial" w:eastAsia="Arial" w:hAnsi="Arial"/>
          <w:b w:val="false"/>
          <w:bCs w:val="false"/>
          <w:color w:val="424242"/>
          <w:sz w:val="22"/>
          <w:szCs w:val="22"/>
        </w:rPr>
        <w:t xml:space="preserve">Definición de la estructura de carpetas y jerarquía de archivos.</w:t>
      </w:r>
    </w:p>
    <w:p>
      <w:pPr>
        <w:pStyle w:val="ListParagraph"/>
        <w:numPr>
          <w:ilvl w:val="0"/>
          <w:numId w:val="2"/>
        </w:numPr>
        <w:spacing w:after="80" w:before="40"/>
      </w:pPr>
      <w:r>
        <w:rPr>
          <w:rFonts w:ascii="Arial" w:cs="Arial" w:eastAsia="Arial" w:hAnsi="Arial"/>
          <w:b w:val="false"/>
          <w:bCs w:val="false"/>
          <w:color w:val="424242"/>
          <w:sz w:val="22"/>
          <w:szCs w:val="22"/>
        </w:rPr>
        <w:t xml:space="preserve">Establecimiento de una nomenclatura estandarizada para el nombramiento de documentos.</w:t>
      </w:r>
    </w:p>
    <w:p>
      <w:pPr>
        <w:pStyle w:val="ListParagraph"/>
        <w:numPr>
          <w:ilvl w:val="0"/>
          <w:numId w:val="2"/>
        </w:numPr>
        <w:spacing w:after="80" w:before="40"/>
      </w:pPr>
      <w:r>
        <w:rPr>
          <w:rFonts w:ascii="Arial" w:cs="Arial" w:eastAsia="Arial" w:hAnsi="Arial"/>
          <w:b w:val="false"/>
          <w:bCs w:val="false"/>
          <w:color w:val="424242"/>
          <w:sz w:val="22"/>
          <w:szCs w:val="22"/>
        </w:rPr>
        <w:t xml:space="preserve">Creación de un registro centralizado de documentos para garantizar trazabilidad y control de versiones.</w:t>
      </w:r>
    </w:p>
    <w:p>
      <w:pPr>
        <w:pStyle w:val="ListParagraph"/>
        <w:numPr>
          <w:ilvl w:val="0"/>
          <w:numId w:val="2"/>
        </w:numPr>
        <w:spacing w:after="80" w:before="40"/>
      </w:pPr>
      <w:r>
        <w:rPr>
          <w:rFonts w:ascii="Arial" w:cs="Arial" w:eastAsia="Arial" w:hAnsi="Arial"/>
          <w:b w:val="false"/>
          <w:bCs w:val="false"/>
          <w:color w:val="424242"/>
          <w:sz w:val="22"/>
          <w:szCs w:val="22"/>
        </w:rPr>
        <w:t xml:space="preserve">Elaboración de manuales de uso del sistema, orientados a estandarizar procesos ante futuros crecimientos del equipo.</w:t>
      </w:r>
    </w:p>
    <w:p>
      <w:pPr>
        <w:pStyle w:val="ListParagraph"/>
        <w:numPr>
          <w:ilvl w:val="0"/>
          <w:numId w:val="2"/>
        </w:numPr>
        <w:spacing w:after="80" w:before="40"/>
      </w:pPr>
      <w:r>
        <w:rPr>
          <w:rFonts w:ascii="Arial" w:cs="Arial" w:eastAsia="Arial" w:hAnsi="Arial"/>
          <w:b w:val="false"/>
          <w:bCs w:val="false"/>
          <w:color w:val="424242"/>
          <w:sz w:val="22"/>
          <w:szCs w:val="22"/>
        </w:rPr>
        <w:t xml:space="preserve">Documentación del flujo de trabajo institucional como proceso prioritario dentro del sistema.</w:t>
      </w:r>
    </w:p>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0F2F1" w:val="clear"/>
            <w:tcMar>
              <w:top w:type="dxa" w:w="180"/>
              <w:left w:type="dxa" w:w="240"/>
              <w:bottom w:type="dxa" w:w="180"/>
              <w:right w:type="dxa" w:w="240"/>
            </w:tcMar>
          </w:tcPr>
          <w:p>
            <w:pPr>
              <w:spacing w:after="80" w:before="0"/>
            </w:pPr>
            <w:r>
              <w:rPr>
                <w:rFonts w:ascii="Arial" w:cs="Arial" w:eastAsia="Arial" w:hAnsi="Arial"/>
                <w:b/>
                <w:bCs/>
                <w:color w:val="00796B"/>
                <w:sz w:val="22"/>
                <w:szCs w:val="22"/>
              </w:rPr>
              <w:t xml:space="preserve">¿Por qué importa esto?</w:t>
            </w:r>
          </w:p>
          <w:p>
            <w:pPr>
              <w:spacing w:after="0" w:before="0"/>
            </w:pPr>
            <w:r>
              <w:rPr>
                <w:rFonts w:ascii="Arial" w:cs="Arial" w:eastAsia="Arial" w:hAnsi="Arial"/>
                <w:color w:val="424242"/>
                <w:sz w:val="21"/>
                <w:szCs w:val="21"/>
              </w:rPr>
              <w:t xml:space="preserve">Contar con un sistema documental estandarizado desde etapas tempranas de la organización nos permite escalar de forma ordenada, incorporar voluntariado y personal nuevo con procesos claros, y demostrar seriedad institucional ante aliados, donantes y autoridades.</w:t>
            </w:r>
          </w:p>
        </w:tc>
      </w:tr>
    </w:tbl>
    <w:p>
      <w:pPr>
        <w:spacing w:after="240" w:before="0"/>
      </w:pPr>
      <w:r>
        <w:t xml:space="preserve"/>
      </w:r>
    </w:p>
    <w:p>
      <w:pPr>
        <w:pStyle w:val="Heading2"/>
        <w:spacing w:after="120" w:before="320"/>
      </w:pPr>
      <w:r>
        <w:rPr>
          <w:rFonts w:ascii="Arial" w:cs="Arial" w:eastAsia="Arial" w:hAnsi="Arial"/>
          <w:b/>
          <w:bCs/>
          <w:color w:val="00796B"/>
          <w:sz w:val="26"/>
          <w:szCs w:val="26"/>
        </w:rPr>
        <w:t xml:space="preserve">1.2 Infraestructura Financiera</w:t>
      </w:r>
    </w:p>
    <w:p>
      <w:pPr>
        <w:spacing w:after="100" w:before="60"/>
      </w:pPr>
      <w:r>
        <w:rPr>
          <w:rFonts w:ascii="Arial" w:cs="Arial" w:eastAsia="Arial" w:hAnsi="Arial"/>
          <w:color w:val="424242"/>
          <w:sz w:val="22"/>
          <w:szCs w:val="22"/>
        </w:rPr>
        <w:t xml:space="preserve">Con el propósito de habilitar canales formales para la recepción de donativos y pagos, se trabajó en la constitución de la infraestructura financiera básica de la asociación:</w:t>
      </w:r>
    </w:p>
    <w:p>
      <w:pPr>
        <w:spacing w:after="120" w:before="0"/>
      </w:pPr>
      <w:r>
        <w:t xml:space="preserve"/>
      </w:r>
    </w:p>
    <w:p>
      <w:pPr>
        <w:pStyle w:val="ListParagraph"/>
        <w:numPr>
          <w:ilvl w:val="0"/>
          <w:numId w:val="2"/>
        </w:numPr>
        <w:spacing w:after="80" w:before="40"/>
      </w:pPr>
      <w:r>
        <w:rPr>
          <w:rFonts w:ascii="Arial" w:cs="Arial" w:eastAsia="Arial" w:hAnsi="Arial"/>
          <w:b w:val="false"/>
          <w:bCs w:val="false"/>
          <w:color w:val="424242"/>
          <w:sz w:val="22"/>
          <w:szCs w:val="22"/>
        </w:rPr>
        <w:t xml:space="preserve">Apertura de cuenta de PayPal institucional para recepción de pagos y donativos en línea.</w:t>
      </w:r>
    </w:p>
    <w:p>
      <w:pPr>
        <w:pStyle w:val="ListParagraph"/>
        <w:numPr>
          <w:ilvl w:val="0"/>
          <w:numId w:val="2"/>
        </w:numPr>
        <w:spacing w:after="80" w:before="40"/>
      </w:pPr>
      <w:r>
        <w:rPr>
          <w:rFonts w:ascii="Arial" w:cs="Arial" w:eastAsia="Arial" w:hAnsi="Arial"/>
          <w:b w:val="false"/>
          <w:bCs w:val="false"/>
          <w:color w:val="424242"/>
          <w:sz w:val="22"/>
          <w:szCs w:val="22"/>
        </w:rPr>
        <w:t xml:space="preserve">Apertura de cuenta de Mercado Pago para pagos nacionales y gestión de sorteos.</w:t>
      </w:r>
    </w:p>
    <w:p>
      <w:pPr>
        <w:pStyle w:val="ListParagraph"/>
        <w:numPr>
          <w:ilvl w:val="0"/>
          <w:numId w:val="2"/>
        </w:numPr>
        <w:spacing w:after="80" w:before="40"/>
      </w:pPr>
      <w:r>
        <w:rPr>
          <w:rFonts w:ascii="Arial" w:cs="Arial" w:eastAsia="Arial" w:hAnsi="Arial"/>
          <w:b w:val="false"/>
          <w:bCs w:val="false"/>
          <w:color w:val="424242"/>
          <w:sz w:val="22"/>
          <w:szCs w:val="22"/>
        </w:rPr>
        <w:t xml:space="preserve">Solicitud y obtención de tarjeta de débito física BBVA a nombre de la asociación.</w:t>
      </w:r>
    </w:p>
    <w:p>
      <w:pPr>
        <w:pStyle w:val="ListParagraph"/>
        <w:numPr>
          <w:ilvl w:val="0"/>
          <w:numId w:val="2"/>
        </w:numPr>
        <w:spacing w:after="80" w:before="40"/>
      </w:pPr>
      <w:r>
        <w:rPr>
          <w:rFonts w:ascii="Arial" w:cs="Arial" w:eastAsia="Arial" w:hAnsi="Arial"/>
          <w:b w:val="false"/>
          <w:bCs w:val="false"/>
          <w:color w:val="424242"/>
          <w:sz w:val="22"/>
          <w:szCs w:val="22"/>
        </w:rPr>
        <w:t xml:space="preserve">Exploración de servicio de domiciliación/pagos recurrentes con BBVA (pendiente de resolución; alternativa temporal: PayPal y Mercado Pago).</w:t>
      </w:r>
    </w:p>
    <w:p>
      <w:pPr>
        <w:spacing w:after="120" w:before="0"/>
      </w:pPr>
      <w:r>
        <w:t xml:space="preserve"/>
      </w:r>
    </w:p>
    <w:p>
      <w:pPr>
        <w:pStyle w:val="Heading2"/>
        <w:spacing w:after="120" w:before="320"/>
      </w:pPr>
      <w:r>
        <w:rPr>
          <w:rFonts w:ascii="Arial" w:cs="Arial" w:eastAsia="Arial" w:hAnsi="Arial"/>
          <w:b/>
          <w:bCs/>
          <w:color w:val="00796B"/>
          <w:sz w:val="26"/>
          <w:szCs w:val="26"/>
        </w:rPr>
        <w:t xml:space="preserve">1.3 Ecosistema de Recaudación de Fondos</w:t>
      </w:r>
    </w:p>
    <w:p>
      <w:pPr>
        <w:spacing w:after="100" w:before="60"/>
      </w:pPr>
      <w:r>
        <w:rPr>
          <w:rFonts w:ascii="Arial" w:cs="Arial" w:eastAsia="Arial" w:hAnsi="Arial"/>
          <w:color w:val="424242"/>
          <w:sz w:val="22"/>
          <w:szCs w:val="22"/>
        </w:rPr>
        <w:t xml:space="preserve">Se realizó un análisis integral del ecosistema de recaudación para identificar las actividades permitidas dentro del objeto social de AMO AC, así como los límites y condiciones aplicables a cada modalidad. Este ejercicio establece el marco bajo el cual se operarán las actividades de captación de recursos.</w:t>
      </w:r>
    </w:p>
    <w:p>
      <w:pPr>
        <w:spacing w:after="120" w:before="0"/>
      </w:pPr>
      <w:r>
        <w:t xml:space="preserve"/>
      </w:r>
    </w:p>
    <w:p>
      <w:pPr>
        <w:spacing w:after="240" w:before="0"/>
      </w:pPr>
      <w:r>
        <w:t xml:space="preserve"/>
      </w:r>
    </w:p>
    <w:p>
      <w:r>
        <w:br w:type="page"/>
      </w:r>
    </w:p>
    <w:p>
      <w:pPr>
        <w:pStyle w:val="Heading1"/>
        <w:pBdr>
          <w:bottom w:val="single" w:color="00796B" w:sz="8" w:space="4"/>
        </w:pBdr>
        <w:spacing w:after="160" w:before="400"/>
      </w:pPr>
      <w:r>
        <w:rPr>
          <w:rFonts w:ascii="Arial" w:cs="Arial" w:eastAsia="Arial" w:hAnsi="Arial"/>
          <w:b/>
          <w:bCs/>
          <w:color w:val="00796B"/>
          <w:sz w:val="32"/>
          <w:szCs w:val="32"/>
        </w:rPr>
        <w:t xml:space="preserve">2. Identidad de Marca y Comunicación Digital</w:t>
      </w:r>
    </w:p>
    <w:p>
      <w:pPr>
        <w:pStyle w:val="Heading2"/>
        <w:spacing w:after="120" w:before="320"/>
      </w:pPr>
      <w:r>
        <w:rPr>
          <w:rFonts w:ascii="Arial" w:cs="Arial" w:eastAsia="Arial" w:hAnsi="Arial"/>
          <w:b/>
          <w:bCs/>
          <w:color w:val="00796B"/>
          <w:sz w:val="26"/>
          <w:szCs w:val="26"/>
        </w:rPr>
        <w:t xml:space="preserve">2.1 Branding e Identidad Visual</w:t>
      </w:r>
    </w:p>
    <w:p>
      <w:pPr>
        <w:spacing w:after="100" w:before="60"/>
      </w:pPr>
      <w:r>
        <w:rPr>
          <w:rFonts w:ascii="Arial" w:cs="Arial" w:eastAsia="Arial" w:hAnsi="Arial"/>
          <w:color w:val="424242"/>
          <w:sz w:val="22"/>
          <w:szCs w:val="22"/>
        </w:rPr>
        <w:t xml:space="preserve">Marisa Cano lideró el desarrollo integral de la identidad visual de la organización, consolidando la imagen institucional de AMO AC. Los resultados de este proceso incluyen:</w:t>
      </w:r>
    </w:p>
    <w:p>
      <w:pPr>
        <w:spacing w:after="120" w:before="0"/>
      </w:pPr>
      <w:r>
        <w:t xml:space="preserve"/>
      </w:r>
    </w:p>
    <w:p>
      <w:pPr>
        <w:pStyle w:val="ListParagraph"/>
        <w:numPr>
          <w:ilvl w:val="0"/>
          <w:numId w:val="2"/>
        </w:numPr>
        <w:spacing w:after="80" w:before="40"/>
      </w:pPr>
      <w:r>
        <w:rPr>
          <w:rFonts w:ascii="Arial" w:cs="Arial" w:eastAsia="Arial" w:hAnsi="Arial"/>
          <w:b w:val="false"/>
          <w:bCs w:val="false"/>
          <w:color w:val="424242"/>
          <w:sz w:val="22"/>
          <w:szCs w:val="22"/>
        </w:rPr>
        <w:t xml:space="preserve">Diseño del logotipo oficial de Accesibilidad en Movimiento (AMO AC).</w:t>
      </w:r>
    </w:p>
    <w:p>
      <w:pPr>
        <w:pStyle w:val="ListParagraph"/>
        <w:numPr>
          <w:ilvl w:val="0"/>
          <w:numId w:val="2"/>
        </w:numPr>
        <w:spacing w:after="80" w:before="40"/>
      </w:pPr>
      <w:r>
        <w:rPr>
          <w:rFonts w:ascii="Arial" w:cs="Arial" w:eastAsia="Arial" w:hAnsi="Arial"/>
          <w:b w:val="false"/>
          <w:bCs w:val="false"/>
          <w:color w:val="424242"/>
          <w:sz w:val="22"/>
          <w:szCs w:val="22"/>
        </w:rPr>
        <w:t xml:space="preserve">Definición de la identidad de marca: paleta de colores, tipografías, iconografía y criterios de aplicación.</w:t>
      </w:r>
    </w:p>
    <w:p>
      <w:pPr>
        <w:pStyle w:val="ListParagraph"/>
        <w:numPr>
          <w:ilvl w:val="0"/>
          <w:numId w:val="2"/>
        </w:numPr>
        <w:spacing w:after="80" w:before="40"/>
      </w:pPr>
      <w:r>
        <w:rPr>
          <w:rFonts w:ascii="Arial" w:cs="Arial" w:eastAsia="Arial" w:hAnsi="Arial"/>
          <w:b w:val="false"/>
          <w:bCs w:val="false"/>
          <w:color w:val="424242"/>
          <w:sz w:val="22"/>
          <w:szCs w:val="22"/>
        </w:rPr>
        <w:t xml:space="preserve">Elaboración del Libro de Identidad de Marca, documento rector que garantiza la coherencia visual en todas las comunicaciones de la organización.</w:t>
      </w:r>
    </w:p>
    <w:p>
      <w:pPr>
        <w:pStyle w:val="ListParagraph"/>
        <w:numPr>
          <w:ilvl w:val="0"/>
          <w:numId w:val="2"/>
        </w:numPr>
        <w:spacing w:after="80" w:before="40"/>
      </w:pPr>
      <w:r>
        <w:rPr>
          <w:rFonts w:ascii="Arial" w:cs="Arial" w:eastAsia="Arial" w:hAnsi="Arial"/>
          <w:b w:val="false"/>
          <w:bCs w:val="false"/>
          <w:color w:val="424242"/>
          <w:sz w:val="22"/>
          <w:szCs w:val="22"/>
        </w:rPr>
        <w:t xml:space="preserve">Consolidación de la abreviación oficial: AMO AC.</w:t>
      </w:r>
    </w:p>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0F2F1" w:val="clear"/>
            <w:tcMar>
              <w:top w:type="dxa" w:w="180"/>
              <w:left w:type="dxa" w:w="240"/>
              <w:bottom w:type="dxa" w:w="180"/>
              <w:right w:type="dxa" w:w="240"/>
            </w:tcMar>
          </w:tcPr>
          <w:p>
            <w:pPr>
              <w:spacing w:after="80" w:before="0"/>
            </w:pPr>
            <w:r>
              <w:rPr>
                <w:rFonts w:ascii="Arial" w:cs="Arial" w:eastAsia="Arial" w:hAnsi="Arial"/>
                <w:b/>
                <w:bCs/>
                <w:color w:val="00796B"/>
                <w:sz w:val="22"/>
                <w:szCs w:val="22"/>
              </w:rPr>
              <w:t xml:space="preserve">Resultado clave</w:t>
            </w:r>
          </w:p>
          <w:p>
            <w:pPr>
              <w:spacing w:after="0" w:before="0"/>
            </w:pPr>
            <w:r>
              <w:rPr>
                <w:rFonts w:ascii="Arial" w:cs="Arial" w:eastAsia="Arial" w:hAnsi="Arial"/>
                <w:color w:val="424242"/>
                <w:sz w:val="21"/>
                <w:szCs w:val="21"/>
              </w:rPr>
              <w:t xml:space="preserve">AMO AC cuenta ahora con una identidad visual profesional, documentada y lista para aplicarse en todos los canales digitales, impresos y materiales institucionales.</w:t>
            </w:r>
          </w:p>
        </w:tc>
      </w:tr>
    </w:tbl>
    <w:p>
      <w:pPr>
        <w:spacing w:after="240" w:before="0"/>
      </w:pPr>
      <w:r>
        <w:t xml:space="preserve"/>
      </w:r>
    </w:p>
    <w:p>
      <w:pPr>
        <w:pStyle w:val="Heading2"/>
        <w:spacing w:after="120" w:before="320"/>
      </w:pPr>
      <w:r>
        <w:rPr>
          <w:rFonts w:ascii="Arial" w:cs="Arial" w:eastAsia="Arial" w:hAnsi="Arial"/>
          <w:b/>
          <w:bCs/>
          <w:color w:val="00796B"/>
          <w:sz w:val="26"/>
          <w:szCs w:val="26"/>
        </w:rPr>
        <w:t xml:space="preserve">2.2 Presencia Digital y Redes Sociales</w:t>
      </w:r>
    </w:p>
    <w:p>
      <w:pPr>
        <w:spacing w:after="100" w:before="60"/>
      </w:pPr>
      <w:r>
        <w:rPr>
          <w:rFonts w:ascii="Arial" w:cs="Arial" w:eastAsia="Arial" w:hAnsi="Arial"/>
          <w:color w:val="424242"/>
          <w:sz w:val="22"/>
          <w:szCs w:val="22"/>
        </w:rPr>
        <w:t xml:space="preserve">Se habilitaron los canales digitales oficiales de AMO AC para comenzar a construir presencia en línea y establecer las bases para futuras campañas de difusión y recaudación de fondos:</w:t>
      </w:r>
    </w:p>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r>
              <w:rPr>
                <w:rFonts w:ascii="Arial" w:cs="Arial" w:eastAsia="Arial" w:hAnsi="Arial"/>
                <w:b/>
                <w:bCs/>
                <w:color w:val="FFFFFF"/>
                <w:sz w:val="21"/>
                <w:szCs w:val="21"/>
              </w:rPr>
              <w:t xml:space="preserve">Plataforma</w:t>
            </w:r>
          </w:p>
        </w:tc>
        <w:tc>
          <w:tcPr>
            <w:tcW w:type="dxa" w:w="312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r>
              <w:rPr>
                <w:rFonts w:ascii="Arial" w:cs="Arial" w:eastAsia="Arial" w:hAnsi="Arial"/>
                <w:b/>
                <w:bCs/>
                <w:color w:val="FFFFFF"/>
                <w:sz w:val="21"/>
                <w:szCs w:val="21"/>
              </w:rPr>
              <w:t xml:space="preserve">Estado</w:t>
            </w:r>
          </w:p>
        </w:tc>
        <w:tc>
          <w:tcPr>
            <w:tcW w:type="dxa" w:w="312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r>
              <w:rPr>
                <w:rFonts w:ascii="Arial" w:cs="Arial" w:eastAsia="Arial" w:hAnsi="Arial"/>
                <w:b/>
                <w:bCs/>
                <w:color w:val="FFFFFF"/>
                <w:sz w:val="21"/>
                <w:szCs w:val="21"/>
              </w:rPr>
              <w:t xml:space="preserve">Propósito principal</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Instagram</w:t>
            </w:r>
          </w:p>
        </w:tc>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Activo</w:t>
            </w:r>
          </w:p>
        </w:tc>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Comunidad y contenido visual</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TikTok</w:t>
            </w:r>
          </w:p>
        </w:tc>
        <w:tc>
          <w:tcPr>
            <w:tcW w:type="dxa" w:w="312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Activo</w:t>
            </w:r>
          </w:p>
        </w:tc>
        <w:tc>
          <w:tcPr>
            <w:tcW w:type="dxa" w:w="312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Contenido de alto alcance</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Facebook</w:t>
            </w:r>
          </w:p>
        </w:tc>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Activo</w:t>
            </w:r>
          </w:p>
        </w:tc>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Comunidad amplia y eventos</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LinkedIn</w:t>
            </w:r>
          </w:p>
        </w:tc>
        <w:tc>
          <w:tcPr>
            <w:tcW w:type="dxa" w:w="312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Activo</w:t>
            </w:r>
          </w:p>
        </w:tc>
        <w:tc>
          <w:tcPr>
            <w:tcW w:type="dxa" w:w="312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Alianzas, voluntariado y vinculación</w:t>
            </w:r>
          </w:p>
        </w:tc>
      </w:tr>
    </w:tbl>
    <w:p>
      <w:pPr>
        <w:spacing w:after="240" w:before="0"/>
      </w:pPr>
      <w:r>
        <w:t xml:space="preserve"/>
      </w:r>
    </w:p>
    <w:p>
      <w:pPr>
        <w:pStyle w:val="Heading2"/>
        <w:spacing w:after="120" w:before="320"/>
      </w:pPr>
      <w:r>
        <w:rPr>
          <w:rFonts w:ascii="Arial" w:cs="Arial" w:eastAsia="Arial" w:hAnsi="Arial"/>
          <w:b/>
          <w:bCs/>
          <w:color w:val="00796B"/>
          <w:sz w:val="26"/>
          <w:szCs w:val="26"/>
        </w:rPr>
        <w:t xml:space="preserve">2.3 Sitio Web</w:t>
      </w:r>
    </w:p>
    <w:p>
      <w:pPr>
        <w:spacing w:after="100" w:before="60"/>
      </w:pPr>
      <w:r>
        <w:rPr>
          <w:rFonts w:ascii="Arial" w:cs="Arial" w:eastAsia="Arial" w:hAnsi="Arial"/>
          <w:color w:val="424242"/>
          <w:sz w:val="22"/>
          <w:szCs w:val="22"/>
        </w:rPr>
        <w:t xml:space="preserve">Se inició el desarrollo del sitio web institucional con el objetivo de comunicar el proyecto de manera profesional al público general, posibles donantes y candidatos a beneficiarios. El proceso incluyó:</w:t>
      </w:r>
    </w:p>
    <w:p>
      <w:pPr>
        <w:spacing w:after="120" w:before="0"/>
      </w:pPr>
      <w:r>
        <w:t xml:space="preserve"/>
      </w:r>
    </w:p>
    <w:p>
      <w:pPr>
        <w:pStyle w:val="ListParagraph"/>
        <w:numPr>
          <w:ilvl w:val="0"/>
          <w:numId w:val="2"/>
        </w:numPr>
        <w:spacing w:after="80" w:before="40"/>
      </w:pPr>
      <w:r>
        <w:rPr>
          <w:rFonts w:ascii="Arial" w:cs="Arial" w:eastAsia="Arial" w:hAnsi="Arial"/>
          <w:b w:val="false"/>
          <w:bCs w:val="false"/>
          <w:color w:val="424242"/>
          <w:sz w:val="22"/>
          <w:szCs w:val="22"/>
        </w:rPr>
        <w:t xml:space="preserve">Elaboración de la arquitectura de contenido y estructura de navegación (índice de secciones).</w:t>
      </w:r>
    </w:p>
    <w:p>
      <w:pPr>
        <w:pStyle w:val="ListParagraph"/>
        <w:numPr>
          <w:ilvl w:val="0"/>
          <w:numId w:val="2"/>
        </w:numPr>
        <w:spacing w:after="80" w:before="40"/>
      </w:pPr>
      <w:r>
        <w:rPr>
          <w:rFonts w:ascii="Arial" w:cs="Arial" w:eastAsia="Arial" w:hAnsi="Arial"/>
          <w:b w:val="false"/>
          <w:bCs w:val="false"/>
          <w:color w:val="424242"/>
          <w:sz w:val="22"/>
          <w:szCs w:val="22"/>
        </w:rPr>
        <w:t xml:space="preserve">Exploración y evaluación de herramientas para el desarrollo del sitio.</w:t>
      </w:r>
    </w:p>
    <w:p>
      <w:pPr>
        <w:pStyle w:val="ListParagraph"/>
        <w:numPr>
          <w:ilvl w:val="0"/>
          <w:numId w:val="2"/>
        </w:numPr>
        <w:spacing w:after="80" w:before="40"/>
      </w:pPr>
      <w:r>
        <w:rPr>
          <w:rFonts w:ascii="Arial" w:cs="Arial" w:eastAsia="Arial" w:hAnsi="Arial"/>
          <w:b w:val="false"/>
          <w:bCs w:val="false"/>
          <w:color w:val="424242"/>
          <w:sz w:val="22"/>
          <w:szCs w:val="22"/>
        </w:rPr>
        <w:t xml:space="preserve">El sitio contempla secciones de presentación institucional, información del programa de voluntariado y la plataforma de sorteos como mecanismo de recaudación.</w:t>
      </w:r>
    </w:p>
    <w:p>
      <w:pPr>
        <w:spacing w:after="120" w:before="0"/>
      </w:pPr>
      <w:r>
        <w:t xml:space="preserve"/>
      </w:r>
    </w:p>
    <w:p>
      <w:pPr>
        <w:pStyle w:val="Heading2"/>
        <w:spacing w:after="120" w:before="320"/>
      </w:pPr>
      <w:r>
        <w:rPr>
          <w:rFonts w:ascii="Arial" w:cs="Arial" w:eastAsia="Arial" w:hAnsi="Arial"/>
          <w:b/>
          <w:bCs/>
          <w:color w:val="00796B"/>
          <w:sz w:val="26"/>
          <w:szCs w:val="26"/>
        </w:rPr>
        <w:t xml:space="preserve">2.4 Producción de Contenido</w:t>
      </w:r>
    </w:p>
    <w:p>
      <w:pPr>
        <w:spacing w:after="100" w:before="60"/>
      </w:pPr>
      <w:r>
        <w:rPr>
          <w:rFonts w:ascii="Arial" w:cs="Arial" w:eastAsia="Arial" w:hAnsi="Arial"/>
          <w:color w:val="424242"/>
          <w:sz w:val="22"/>
          <w:szCs w:val="22"/>
        </w:rPr>
        <w:t xml:space="preserve">Se realizó la primera grabación de contenido para los canales de AMO AC, marcando el inicio de la estrategia de comunicación audiovisual:</w:t>
      </w:r>
    </w:p>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0F2F1" w:val="clear"/>
            <w:tcMar>
              <w:top w:type="dxa" w:w="180"/>
              <w:left w:type="dxa" w:w="240"/>
              <w:bottom w:type="dxa" w:w="180"/>
              <w:right w:type="dxa" w:w="240"/>
            </w:tcMar>
          </w:tcPr>
          <w:p>
            <w:pPr>
              <w:spacing w:after="80" w:before="0"/>
            </w:pPr>
            <w:r>
              <w:rPr>
                <w:rFonts w:ascii="Arial" w:cs="Arial" w:eastAsia="Arial" w:hAnsi="Arial"/>
                <w:b/>
                <w:bCs/>
                <w:color w:val="00796B"/>
                <w:sz w:val="22"/>
                <w:szCs w:val="22"/>
              </w:rPr>
              <w:t xml:space="preserve">Primera producción: Proyecto Hogar sin Barreras</w:t>
            </w:r>
          </w:p>
          <w:p>
            <w:pPr>
              <w:spacing w:after="0" w:before="0"/>
            </w:pPr>
            <w:r>
              <w:rPr>
                <w:rFonts w:ascii="Arial" w:cs="Arial" w:eastAsia="Arial" w:hAnsi="Arial"/>
                <w:color w:val="424242"/>
                <w:sz w:val="21"/>
                <w:szCs w:val="21"/>
              </w:rPr>
              <w:t xml:space="preserve">Se realizó una grabación con Aldo Bancardo, fundador de la organización Discapacitados, para presentar el proyecto Hogar sin Barreras, uno de los proyectos emblema de AMO AC, desarrollado en honor al arquitecto Guillermo Vílchez.</w:t>
            </w:r>
          </w:p>
        </w:tc>
      </w:tr>
    </w:tbl>
    <w:p>
      <w:pPr>
        <w:spacing w:after="240" w:before="0"/>
      </w:pPr>
      <w:r>
        <w:t xml:space="preserve"/>
      </w:r>
    </w:p>
    <w:p>
      <w:r>
        <w:br w:type="page"/>
      </w:r>
    </w:p>
    <w:p>
      <w:pPr>
        <w:pStyle w:val="Heading1"/>
        <w:pBdr>
          <w:bottom w:val="single" w:color="00796B" w:sz="8" w:space="4"/>
        </w:pBdr>
        <w:spacing w:after="160" w:before="400"/>
      </w:pPr>
      <w:r>
        <w:rPr>
          <w:rFonts w:ascii="Arial" w:cs="Arial" w:eastAsia="Arial" w:hAnsi="Arial"/>
          <w:b/>
          <w:bCs/>
          <w:color w:val="00796B"/>
          <w:sz w:val="32"/>
          <w:szCs w:val="32"/>
        </w:rPr>
        <w:t xml:space="preserve">3. Vinculación Académica: UANL – Diseño Universal</w:t>
      </w:r>
    </w:p>
    <w:p>
      <w:pPr>
        <w:spacing w:after="100" w:before="60"/>
      </w:pPr>
      <w:r>
        <w:rPr>
          <w:rFonts w:ascii="Arial" w:cs="Arial" w:eastAsia="Arial" w:hAnsi="Arial"/>
          <w:color w:val="424242"/>
          <w:sz w:val="22"/>
          <w:szCs w:val="22"/>
        </w:rPr>
        <w:t xml:space="preserve">Una de las acciones más significativas del periodo fue la alianza de vinculación con la Facultad de Arquitectura de la Universidad Autónoma de Nuevo León (UANL), a través de la clase de Diseño Universal. Esta colaboración permitió combinar la formación académica con el impacto social de AMO AC.</w:t>
      </w:r>
    </w:p>
    <w:p>
      <w:pPr>
        <w:spacing w:after="120" w:before="0"/>
      </w:pPr>
      <w:r>
        <w:t xml:space="preserve"/>
      </w:r>
    </w:p>
    <w:p>
      <w:pPr>
        <w:pStyle w:val="Heading2"/>
        <w:spacing w:after="120" w:before="320"/>
      </w:pPr>
      <w:r>
        <w:rPr>
          <w:rFonts w:ascii="Arial" w:cs="Arial" w:eastAsia="Arial" w:hAnsi="Arial"/>
          <w:b/>
          <w:bCs/>
          <w:color w:val="00796B"/>
          <w:sz w:val="26"/>
          <w:szCs w:val="26"/>
        </w:rPr>
        <w:t xml:space="preserve">3.1 Descripción del Proyecto</w:t>
      </w:r>
    </w:p>
    <w:p>
      <w:pPr>
        <w:spacing w:after="100" w:before="60"/>
      </w:pPr>
      <w:r>
        <w:rPr>
          <w:rFonts w:ascii="Arial" w:cs="Arial" w:eastAsia="Arial" w:hAnsi="Arial"/>
          <w:color w:val="424242"/>
          <w:sz w:val="22"/>
          <w:szCs w:val="22"/>
        </w:rPr>
        <w:t xml:space="preserve">En colaboración con la UANL, se desarrollaron 20 proyectos de accesibilidad habitacional con candidatos reales. El proceso consistió en:</w:t>
      </w:r>
    </w:p>
    <w:p>
      <w:pPr>
        <w:spacing w:after="120" w:before="0"/>
      </w:pPr>
      <w:r>
        <w:t xml:space="preserve"/>
      </w:r>
    </w:p>
    <w:p>
      <w:pPr>
        <w:pStyle w:val="ListParagraph"/>
        <w:numPr>
          <w:ilvl w:val="0"/>
          <w:numId w:val="2"/>
        </w:numPr>
        <w:spacing w:after="80" w:before="40"/>
      </w:pPr>
      <w:r>
        <w:rPr>
          <w:rFonts w:ascii="Arial" w:cs="Arial" w:eastAsia="Arial" w:hAnsi="Arial"/>
          <w:b w:val="false"/>
          <w:bCs w:val="false"/>
          <w:color w:val="424242"/>
          <w:sz w:val="22"/>
          <w:szCs w:val="22"/>
        </w:rPr>
        <w:t xml:space="preserve">Levantamiento físico de los espacios a intervenir.</w:t>
      </w:r>
    </w:p>
    <w:p>
      <w:pPr>
        <w:pStyle w:val="ListParagraph"/>
        <w:numPr>
          <w:ilvl w:val="0"/>
          <w:numId w:val="2"/>
        </w:numPr>
        <w:spacing w:after="80" w:before="40"/>
      </w:pPr>
      <w:r>
        <w:rPr>
          <w:rFonts w:ascii="Arial" w:cs="Arial" w:eastAsia="Arial" w:hAnsi="Arial"/>
          <w:b w:val="false"/>
          <w:bCs w:val="false"/>
          <w:color w:val="424242"/>
          <w:sz w:val="22"/>
          <w:szCs w:val="22"/>
        </w:rPr>
        <w:t xml:space="preserve">Entrevistas a profundidad con los candidatos (personas con discapacidad motriz, movilidad reducida o usuarias de silla de ruedas).</w:t>
      </w:r>
    </w:p>
    <w:p>
      <w:pPr>
        <w:pStyle w:val="ListParagraph"/>
        <w:numPr>
          <w:ilvl w:val="0"/>
          <w:numId w:val="2"/>
        </w:numPr>
        <w:spacing w:after="80" w:before="40"/>
      </w:pPr>
      <w:r>
        <w:rPr>
          <w:rFonts w:ascii="Arial" w:cs="Arial" w:eastAsia="Arial" w:hAnsi="Arial"/>
          <w:b w:val="false"/>
          <w:bCs w:val="false"/>
          <w:color w:val="424242"/>
          <w:sz w:val="22"/>
          <w:szCs w:val="22"/>
        </w:rPr>
        <w:t xml:space="preserve">Diagnóstico del espacio físico existente.</w:t>
      </w:r>
    </w:p>
    <w:p>
      <w:pPr>
        <w:pStyle w:val="ListParagraph"/>
        <w:numPr>
          <w:ilvl w:val="0"/>
          <w:numId w:val="2"/>
        </w:numPr>
        <w:spacing w:after="80" w:before="40"/>
      </w:pPr>
      <w:r>
        <w:rPr>
          <w:rFonts w:ascii="Arial" w:cs="Arial" w:eastAsia="Arial" w:hAnsi="Arial"/>
          <w:b w:val="false"/>
          <w:bCs w:val="false"/>
          <w:color w:val="424242"/>
          <w:sz w:val="22"/>
          <w:szCs w:val="22"/>
        </w:rPr>
        <w:t xml:space="preserve">Elaboración de un anteproyecto / proyecto preliminar de solución arquitectónica de accesibilidad.</w:t>
      </w:r>
    </w:p>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0F2F1" w:val="clear"/>
            <w:tcMar>
              <w:top w:type="dxa" w:w="180"/>
              <w:left w:type="dxa" w:w="240"/>
              <w:bottom w:type="dxa" w:w="180"/>
              <w:right w:type="dxa" w:w="240"/>
            </w:tcMar>
          </w:tcPr>
          <w:p>
            <w:pPr>
              <w:spacing w:after="80" w:before="0"/>
            </w:pPr>
            <w:r>
              <w:rPr>
                <w:rFonts w:ascii="Arial" w:cs="Arial" w:eastAsia="Arial" w:hAnsi="Arial"/>
                <w:b/>
                <w:bCs/>
                <w:color w:val="00796B"/>
                <w:sz w:val="22"/>
                <w:szCs w:val="22"/>
              </w:rPr>
              <w:t xml:space="preserve">Candidatos</w:t>
            </w:r>
          </w:p>
          <w:p>
            <w:pPr>
              <w:spacing w:after="0" w:before="0"/>
            </w:pPr>
            <w:r>
              <w:rPr>
                <w:rFonts w:ascii="Arial" w:cs="Arial" w:eastAsia="Arial" w:hAnsi="Arial"/>
                <w:color w:val="424242"/>
                <w:sz w:val="21"/>
                <w:szCs w:val="21"/>
              </w:rPr>
              <w:t xml:space="preserve">La lista de 20 personas candidatas fue proporcionada por Patty, provenientes de la comunidad de personas con discapacidad motriz en Nuevo León, garantizando que los proyectos correspondan a beneficiarios reales y elegibles para AMO AC.</w:t>
            </w:r>
          </w:p>
        </w:tc>
      </w:tr>
    </w:tbl>
    <w:p>
      <w:pPr>
        <w:spacing w:after="240" w:before="0"/>
      </w:pPr>
      <w:r>
        <w:t xml:space="preserve"/>
      </w:r>
    </w:p>
    <w:p>
      <w:pPr>
        <w:pStyle w:val="Heading2"/>
        <w:spacing w:after="120" w:before="320"/>
      </w:pPr>
      <w:r>
        <w:rPr>
          <w:rFonts w:ascii="Arial" w:cs="Arial" w:eastAsia="Arial" w:hAnsi="Arial"/>
          <w:b/>
          <w:bCs/>
          <w:color w:val="00796B"/>
          <w:sz w:val="26"/>
          <w:szCs w:val="26"/>
        </w:rPr>
        <w:t xml:space="preserve">3.2 Proceso de Evaluación y Selección</w:t>
      </w:r>
    </w:p>
    <w:p>
      <w:pPr>
        <w:spacing w:after="100" w:before="60"/>
      </w:pPr>
      <w:r>
        <w:rPr>
          <w:rFonts w:ascii="Arial" w:cs="Arial" w:eastAsia="Arial" w:hAnsi="Arial"/>
          <w:color w:val="424242"/>
          <w:sz w:val="22"/>
          <w:szCs w:val="22"/>
        </w:rPr>
        <w:t xml:space="preserve">Los 20 proyectos elaborados por los estudiantes han sido respaldados en el sistema de gestión documental de AMO AC y serán evaluados por el consejo interno bajo los siguientes criterios:</w:t>
      </w:r>
    </w:p>
    <w:p>
      <w:pPr>
        <w:spacing w:after="120" w:before="0"/>
      </w:pPr>
      <w:r>
        <w:t xml:space="preserve"/>
      </w:r>
    </w:p>
    <w:p>
      <w:pPr>
        <w:pStyle w:val="ListParagraph"/>
        <w:numPr>
          <w:ilvl w:val="0"/>
          <w:numId w:val="2"/>
        </w:numPr>
        <w:spacing w:after="80" w:before="40"/>
      </w:pPr>
      <w:r>
        <w:rPr>
          <w:rFonts w:ascii="Arial" w:cs="Arial" w:eastAsia="Arial" w:hAnsi="Arial"/>
          <w:b w:val="false"/>
          <w:bCs w:val="false"/>
          <w:color w:val="424242"/>
          <w:sz w:val="22"/>
          <w:szCs w:val="22"/>
        </w:rPr>
        <w:t xml:space="preserve">Perfil del candidato: necesidad, condición de discapacidad y contexto socioeconómico.</w:t>
      </w:r>
    </w:p>
    <w:p>
      <w:pPr>
        <w:pStyle w:val="ListParagraph"/>
        <w:numPr>
          <w:ilvl w:val="0"/>
          <w:numId w:val="2"/>
        </w:numPr>
        <w:spacing w:after="80" w:before="40"/>
      </w:pPr>
      <w:r>
        <w:rPr>
          <w:rFonts w:ascii="Arial" w:cs="Arial" w:eastAsia="Arial" w:hAnsi="Arial"/>
          <w:b w:val="false"/>
          <w:bCs w:val="false"/>
          <w:color w:val="424242"/>
          <w:sz w:val="22"/>
          <w:szCs w:val="22"/>
        </w:rPr>
        <w:t xml:space="preserve">Calidad técnica del proyecto arquitectónico elaborado.</w:t>
      </w:r>
    </w:p>
    <w:p>
      <w:pPr>
        <w:pStyle w:val="ListParagraph"/>
        <w:numPr>
          <w:ilvl w:val="0"/>
          <w:numId w:val="2"/>
        </w:numPr>
        <w:spacing w:after="80" w:before="40"/>
      </w:pPr>
      <w:r>
        <w:rPr>
          <w:rFonts w:ascii="Arial" w:cs="Arial" w:eastAsia="Arial" w:hAnsi="Arial"/>
          <w:b w:val="false"/>
          <w:bCs w:val="false"/>
          <w:color w:val="424242"/>
          <w:sz w:val="22"/>
          <w:szCs w:val="22"/>
        </w:rPr>
        <w:t xml:space="preserve">Viabilidad de implementación y pertinencia de la solución propuesta.</w:t>
      </w:r>
    </w:p>
    <w:p>
      <w:pPr>
        <w:spacing w:after="120" w:before="0"/>
      </w:pPr>
      <w:r>
        <w:t xml:space="preserve"/>
      </w:r>
    </w:p>
    <w:p>
      <w:pPr>
        <w:spacing w:after="100" w:before="60"/>
      </w:pPr>
      <w:r>
        <w:rPr>
          <w:rFonts w:ascii="Arial" w:cs="Arial" w:eastAsia="Arial" w:hAnsi="Arial"/>
          <w:color w:val="424242"/>
          <w:sz w:val="22"/>
          <w:szCs w:val="22"/>
        </w:rPr>
        <w:t xml:space="preserve">A partir de esta evaluación, se seleccionarán entre 3 y 5 proyectos destacados para convertirse en los primeros proyectos formales a ejecutar bajo el programa Hogar sin Barreras.</w:t>
      </w:r>
    </w:p>
    <w:p>
      <w:pPr>
        <w:spacing w:after="240" w:before="0"/>
      </w:pPr>
      <w:r>
        <w:t xml:space="preserve"/>
      </w:r>
    </w:p>
    <w:p>
      <w:pPr>
        <w:pStyle w:val="Heading2"/>
        <w:spacing w:after="120" w:before="320"/>
      </w:pPr>
      <w:r>
        <w:rPr>
          <w:rFonts w:ascii="Arial" w:cs="Arial" w:eastAsia="Arial" w:hAnsi="Arial"/>
          <w:b/>
          <w:bCs/>
          <w:color w:val="00796B"/>
          <w:sz w:val="26"/>
          <w:szCs w:val="26"/>
        </w:rPr>
        <w:t xml:space="preserve">3.3 Testimonios</w:t>
      </w:r>
    </w:p>
    <w:p>
      <w:pPr>
        <w:spacing w:after="100" w:before="60"/>
      </w:pPr>
      <w:r>
        <w:rPr>
          <w:rFonts w:ascii="Arial" w:cs="Arial" w:eastAsia="Arial" w:hAnsi="Arial"/>
          <w:color w:val="424242"/>
          <w:sz w:val="22"/>
          <w:szCs w:val="22"/>
        </w:rPr>
        <w:t xml:space="preserve">Se generaron videos de testimonios con dos perfiles clave:</w:t>
      </w:r>
    </w:p>
    <w:p>
      <w:pPr>
        <w:spacing w:after="120" w:before="0"/>
      </w:pPr>
      <w:r>
        <w:t xml:space="preserve"/>
      </w:r>
    </w:p>
    <w:p>
      <w:pPr>
        <w:pStyle w:val="ListParagraph"/>
        <w:numPr>
          <w:ilvl w:val="0"/>
          <w:numId w:val="2"/>
        </w:numPr>
        <w:spacing w:after="80" w:before="40"/>
      </w:pPr>
      <w:r>
        <w:rPr>
          <w:rFonts w:ascii="Arial" w:cs="Arial" w:eastAsia="Arial" w:hAnsi="Arial"/>
          <w:b w:val="false"/>
          <w:bCs w:val="false"/>
          <w:color w:val="424242"/>
          <w:sz w:val="22"/>
          <w:szCs w:val="22"/>
        </w:rPr>
        <w:t xml:space="preserve">Candidatos / beneficiarios potenciales: compartiendo su experiencia durante el proceso de entrevista y diagnóstico.</w:t>
      </w:r>
    </w:p>
    <w:p>
      <w:pPr>
        <w:pStyle w:val="ListParagraph"/>
        <w:numPr>
          <w:ilvl w:val="0"/>
          <w:numId w:val="2"/>
        </w:numPr>
        <w:spacing w:after="80" w:before="40"/>
      </w:pPr>
      <w:r>
        <w:rPr>
          <w:rFonts w:ascii="Arial" w:cs="Arial" w:eastAsia="Arial" w:hAnsi="Arial"/>
          <w:b w:val="false"/>
          <w:bCs w:val="false"/>
          <w:color w:val="424242"/>
          <w:sz w:val="22"/>
          <w:szCs w:val="22"/>
        </w:rPr>
        <w:t xml:space="preserve">Estudiantes participantes: expresando su nivel de satisfacción y aprendizaje sobre inclusión, accesibilidad y diseño universal.</w:t>
      </w:r>
    </w:p>
    <w:p>
      <w:pPr>
        <w:spacing w:after="120" w:before="0"/>
      </w:pPr>
      <w:r>
        <w:t xml:space="preserve"/>
      </w:r>
    </w:p>
    <w:p>
      <w:pPr>
        <w:spacing w:after="100" w:before="60"/>
      </w:pPr>
      <w:r>
        <w:rPr>
          <w:rFonts w:ascii="Arial" w:cs="Arial" w:eastAsia="Arial" w:hAnsi="Arial"/>
          <w:color w:val="424242"/>
          <w:sz w:val="22"/>
          <w:szCs w:val="22"/>
        </w:rPr>
        <w:t xml:space="preserve">Estos materiales forman parte del acervo de comunicación de AMO AC y servirán para documentar el impacto del programa.</w:t>
      </w:r>
    </w:p>
    <w:p>
      <w:pPr>
        <w:spacing w:after="240" w:before="0"/>
      </w:pPr>
      <w:r>
        <w:t xml:space="preserve"/>
      </w:r>
    </w:p>
    <w:p>
      <w:r>
        <w:br w:type="page"/>
      </w:r>
    </w:p>
    <w:p>
      <w:pPr>
        <w:pStyle w:val="Heading1"/>
        <w:pBdr>
          <w:bottom w:val="single" w:color="00796B" w:sz="8" w:space="4"/>
        </w:pBdr>
        <w:spacing w:after="160" w:before="400"/>
      </w:pPr>
      <w:r>
        <w:rPr>
          <w:rFonts w:ascii="Arial" w:cs="Arial" w:eastAsia="Arial" w:hAnsi="Arial"/>
          <w:b/>
          <w:bCs/>
          <w:color w:val="00796B"/>
          <w:sz w:val="32"/>
          <w:szCs w:val="32"/>
        </w:rPr>
        <w:t xml:space="preserve">4. Gestiones Institucionales</w:t>
      </w:r>
    </w:p>
    <w:p>
      <w:pPr>
        <w:pStyle w:val="Heading2"/>
        <w:spacing w:after="120" w:before="320"/>
      </w:pPr>
      <w:r>
        <w:rPr>
          <w:rFonts w:ascii="Arial" w:cs="Arial" w:eastAsia="Arial" w:hAnsi="Arial"/>
          <w:b/>
          <w:bCs/>
          <w:color w:val="00796B"/>
          <w:sz w:val="26"/>
          <w:szCs w:val="26"/>
        </w:rPr>
        <w:t xml:space="preserve">4.1 Proceso para Donataria Autorizada (SAT)</w:t>
      </w:r>
    </w:p>
    <w:p>
      <w:pPr>
        <w:spacing w:after="100" w:before="60"/>
      </w:pPr>
      <w:r>
        <w:rPr>
          <w:rFonts w:ascii="Arial" w:cs="Arial" w:eastAsia="Arial" w:hAnsi="Arial"/>
          <w:color w:val="424242"/>
          <w:sz w:val="22"/>
          <w:szCs w:val="22"/>
        </w:rPr>
        <w:t xml:space="preserve">Uno de los hitos más relevantes del periodo es el inicio formal del proceso para obtener la figura de Donataria Autorizada ante el Servicio de Administración Tributaria (SAT), lo que permitirá a AMO AC emitir recibos deducibles de impuestos a sus donantes.</w:t>
      </w:r>
    </w:p>
    <w:p>
      <w:pPr>
        <w:spacing w:after="120" w:before="0"/>
      </w:pPr>
      <w:r>
        <w:t xml:space="preserve"/>
      </w:r>
    </w:p>
    <w:p>
      <w:pPr>
        <w:spacing w:after="100" w:before="60"/>
      </w:pPr>
      <w:r>
        <w:rPr>
          <w:rFonts w:ascii="Arial" w:cs="Arial" w:eastAsia="Arial" w:hAnsi="Arial"/>
          <w:color w:val="424242"/>
          <w:sz w:val="22"/>
          <w:szCs w:val="22"/>
        </w:rPr>
        <w:t xml:space="preserve">La conexión fue facilitada por Patty, quien vinculó a la organización con la Subsecretaría de Igualdad e Inclusión de Nuevo León. GG gestionó la comunicación y coordinó la reunión inicial.</w:t>
      </w:r>
    </w:p>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4440"/>
        <w:gridCol w:w="4440"/>
      </w:tblGrid>
      <w:tr>
        <w:tc>
          <w:tcPr>
            <w:tcW w:type="dxa" w:w="480"/>
            <w:tcBorders>
              <w:top w:val="single" w:color="CCCCCC" w:sz="1"/>
              <w:left w:val="single" w:color="CCCCCC" w:sz="1"/>
              <w:bottom w:val="single" w:color="CCCCCC" w:sz="1"/>
              <w:right w:val="single" w:color="CCCCCC" w:sz="1"/>
            </w:tcBorders>
            <w:shd w:fill="00796B" w:val="clear"/>
            <w:tcMar>
              <w:top w:type="dxa" w:w="100"/>
              <w:left w:type="dxa" w:w="120"/>
              <w:bottom w:type="dxa" w:w="100"/>
              <w:right w:type="dxa" w:w="120"/>
            </w:tcMar>
          </w:tcPr>
          <w:p>
            <w:pPr>
              <w:jc w:val="center"/>
            </w:pPr>
            <w:r>
              <w:rPr>
                <w:rFonts w:ascii="Arial" w:cs="Arial" w:eastAsia="Arial" w:hAnsi="Arial"/>
                <w:b/>
                <w:bCs/>
                <w:color w:val="FFFFFF"/>
                <w:sz w:val="21"/>
                <w:szCs w:val="21"/>
              </w:rPr>
              <w:t xml:space="preserve">#</w:t>
            </w:r>
          </w:p>
        </w:tc>
        <w:tc>
          <w:tcPr>
            <w:tcW w:type="dxa" w:w="444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r>
              <w:rPr>
                <w:rFonts w:ascii="Arial" w:cs="Arial" w:eastAsia="Arial" w:hAnsi="Arial"/>
                <w:b/>
                <w:bCs/>
                <w:color w:val="FFFFFF"/>
                <w:sz w:val="21"/>
                <w:szCs w:val="21"/>
              </w:rPr>
              <w:t xml:space="preserve">Paso</w:t>
            </w:r>
          </w:p>
        </w:tc>
        <w:tc>
          <w:tcPr>
            <w:tcW w:type="dxa" w:w="444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r>
              <w:rPr>
                <w:rFonts w:ascii="Arial" w:cs="Arial" w:eastAsia="Arial" w:hAnsi="Arial"/>
                <w:b/>
                <w:bCs/>
                <w:color w:val="FFFFFF"/>
                <w:sz w:val="21"/>
                <w:szCs w:val="21"/>
              </w:rPr>
              <w:t xml:space="preserve">Estado</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1</w:t>
            </w:r>
          </w:p>
        </w:tc>
        <w:tc>
          <w:tcPr>
            <w:tcW w:type="dxa" w:w="444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Vinculación con Subsecretaría de Igualdad e Inclusión de NL</w:t>
            </w:r>
          </w:p>
        </w:tc>
        <w:tc>
          <w:tcPr>
            <w:tcW w:type="dxa" w:w="444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2E7D32"/>
                <w:sz w:val="21"/>
                <w:szCs w:val="21"/>
              </w:rPr>
              <w:t xml:space="preserve">Completado</w:t>
            </w:r>
          </w:p>
        </w:tc>
      </w:tr>
      <w:tr>
        <w:tc>
          <w:tcPr>
            <w:tcW w:type="dxa" w:w="4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2</w:t>
            </w:r>
          </w:p>
        </w:tc>
        <w:tc>
          <w:tcPr>
            <w:tcW w:type="dxa" w:w="444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Coordinación de sesión con Junta de Beneficencia de Nuevo León</w:t>
            </w:r>
          </w:p>
        </w:tc>
        <w:tc>
          <w:tcPr>
            <w:tcW w:type="dxa" w:w="444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FF6F00"/>
                <w:sz w:val="21"/>
                <w:szCs w:val="21"/>
              </w:rPr>
              <w:t xml:space="preserve">En proceso</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3</w:t>
            </w:r>
          </w:p>
        </w:tc>
        <w:tc>
          <w:tcPr>
            <w:tcW w:type="dxa" w:w="444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Obtención de cartas de acreditación de actividades (Junta de Beneficencia + Secretaría de Igualdad)</w:t>
            </w:r>
          </w:p>
        </w:tc>
        <w:tc>
          <w:tcPr>
            <w:tcW w:type="dxa" w:w="444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757575"/>
                <w:sz w:val="21"/>
                <w:szCs w:val="21"/>
              </w:rPr>
              <w:t xml:space="preserve">Pendiente</w:t>
            </w:r>
          </w:p>
        </w:tc>
      </w:tr>
      <w:tr>
        <w:tc>
          <w:tcPr>
            <w:tcW w:type="dxa" w:w="4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4</w:t>
            </w:r>
          </w:p>
        </w:tc>
        <w:tc>
          <w:tcPr>
            <w:tcW w:type="dxa" w:w="444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Presentación del expediente ante el SAT</w:t>
            </w:r>
          </w:p>
        </w:tc>
        <w:tc>
          <w:tcPr>
            <w:tcW w:type="dxa" w:w="444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757575"/>
                <w:sz w:val="21"/>
                <w:szCs w:val="21"/>
              </w:rPr>
              <w:t xml:space="preserve">Pendiente</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5</w:t>
            </w:r>
          </w:p>
        </w:tc>
        <w:tc>
          <w:tcPr>
            <w:tcW w:type="dxa" w:w="444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Obtención de la autorización como Donataria Autorizada</w:t>
            </w:r>
          </w:p>
        </w:tc>
        <w:tc>
          <w:tcPr>
            <w:tcW w:type="dxa" w:w="444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757575"/>
                <w:sz w:val="21"/>
                <w:szCs w:val="21"/>
              </w:rPr>
              <w:t xml:space="preserve">Pendiente</w:t>
            </w:r>
          </w:p>
        </w:tc>
      </w:tr>
    </w:tbl>
    <w:p>
      <w:pPr>
        <w:spacing w:after="240" w:before="0"/>
      </w:pPr>
      <w:r>
        <w:t xml:space="preserve"/>
      </w:r>
    </w:p>
    <w:p>
      <w:r>
        <w:br w:type="page"/>
      </w:r>
    </w:p>
    <w:p>
      <w:pPr>
        <w:pStyle w:val="Heading1"/>
        <w:pBdr>
          <w:bottom w:val="single" w:color="00796B" w:sz="8" w:space="4"/>
        </w:pBdr>
        <w:spacing w:after="160" w:before="400"/>
      </w:pPr>
      <w:r>
        <w:rPr>
          <w:rFonts w:ascii="Arial" w:cs="Arial" w:eastAsia="Arial" w:hAnsi="Arial"/>
          <w:b/>
          <w:bCs/>
          <w:color w:val="00796B"/>
          <w:sz w:val="32"/>
          <w:szCs w:val="32"/>
        </w:rPr>
        <w:t xml:space="preserve">5. Programa de Voluntariado</w:t>
      </w:r>
    </w:p>
    <w:p>
      <w:pPr>
        <w:spacing w:after="100" w:before="60"/>
      </w:pPr>
      <w:r>
        <w:rPr>
          <w:rFonts w:ascii="Arial" w:cs="Arial" w:eastAsia="Arial" w:hAnsi="Arial"/>
          <w:color w:val="424242"/>
          <w:sz w:val="22"/>
          <w:szCs w:val="22"/>
        </w:rPr>
        <w:t xml:space="preserve">Ante la necesidad de sumar más capacidad operativa al equipo, se tomó la decisión de activar un programa formal de voluntariado. Marisa Cano asumió el liderazgo de este proyecto, con el apoyo de Fátima Núñez.</w:t>
      </w:r>
    </w:p>
    <w:p>
      <w:pPr>
        <w:spacing w:after="120" w:before="0"/>
      </w:pPr>
      <w:r>
        <w:t xml:space="preserve"/>
      </w:r>
    </w:p>
    <w:p>
      <w:pPr>
        <w:pStyle w:val="Heading2"/>
        <w:spacing w:after="120" w:before="320"/>
      </w:pPr>
      <w:r>
        <w:rPr>
          <w:rFonts w:ascii="Arial" w:cs="Arial" w:eastAsia="Arial" w:hAnsi="Arial"/>
          <w:b/>
          <w:bCs/>
          <w:color w:val="00796B"/>
          <w:sz w:val="26"/>
          <w:szCs w:val="26"/>
        </w:rPr>
        <w:t xml:space="preserve">5.1 Avances</w:t>
      </w:r>
    </w:p>
    <w:p>
      <w:pPr>
        <w:pStyle w:val="ListParagraph"/>
        <w:numPr>
          <w:ilvl w:val="0"/>
          <w:numId w:val="2"/>
        </w:numPr>
        <w:spacing w:after="80" w:before="40"/>
      </w:pPr>
      <w:r>
        <w:rPr>
          <w:rFonts w:ascii="Arial" w:cs="Arial" w:eastAsia="Arial" w:hAnsi="Arial"/>
          <w:b w:val="false"/>
          <w:bCs w:val="false"/>
          <w:color w:val="424242"/>
          <w:sz w:val="22"/>
          <w:szCs w:val="22"/>
        </w:rPr>
        <w:t xml:space="preserve">Diseño de un programa estructurado de actividades para el lanzamiento del voluntariado.</w:t>
      </w:r>
    </w:p>
    <w:p>
      <w:pPr>
        <w:pStyle w:val="ListParagraph"/>
        <w:numPr>
          <w:ilvl w:val="0"/>
          <w:numId w:val="2"/>
        </w:numPr>
        <w:spacing w:after="80" w:before="40"/>
      </w:pPr>
      <w:r>
        <w:rPr>
          <w:rFonts w:ascii="Arial" w:cs="Arial" w:eastAsia="Arial" w:hAnsi="Arial"/>
          <w:b w:val="false"/>
          <w:bCs w:val="false"/>
          <w:color w:val="424242"/>
          <w:sz w:val="22"/>
          <w:szCs w:val="22"/>
        </w:rPr>
        <w:t xml:space="preserve">Definición de perfiles de voluntariado requeridos para las áreas prioritarias de AMO AC.</w:t>
      </w:r>
    </w:p>
    <w:p>
      <w:pPr>
        <w:pStyle w:val="ListParagraph"/>
        <w:numPr>
          <w:ilvl w:val="0"/>
          <w:numId w:val="2"/>
        </w:numPr>
        <w:spacing w:after="80" w:before="40"/>
      </w:pPr>
      <w:r>
        <w:rPr>
          <w:rFonts w:ascii="Arial" w:cs="Arial" w:eastAsia="Arial" w:hAnsi="Arial"/>
          <w:b w:val="false"/>
          <w:bCs w:val="false"/>
          <w:color w:val="424242"/>
          <w:sz w:val="22"/>
          <w:szCs w:val="22"/>
        </w:rPr>
        <w:t xml:space="preserve">Exploración de afiliación con el Tecnológico de Monterrey (ITESM) y la UANL para el programa de Servicio Social, que permitiría acceder a talento universitario especializado.</w:t>
      </w:r>
    </w:p>
    <w:p>
      <w:pPr>
        <w:spacing w:after="120" w:before="0"/>
      </w:pPr>
      <w:r>
        <w:t xml:space="preserve"/>
      </w:r>
    </w:p>
    <w:p>
      <w:pPr>
        <w:pStyle w:val="Heading2"/>
        <w:spacing w:after="120" w:before="320"/>
      </w:pPr>
      <w:r>
        <w:rPr>
          <w:rFonts w:ascii="Arial" w:cs="Arial" w:eastAsia="Arial" w:hAnsi="Arial"/>
          <w:b/>
          <w:bCs/>
          <w:color w:val="00796B"/>
          <w:sz w:val="26"/>
          <w:szCs w:val="26"/>
        </w:rPr>
        <w:t xml:space="preserve">5.2 Próximos pasos</w:t>
      </w:r>
    </w:p>
    <w:p>
      <w:pPr>
        <w:pStyle w:val="ListParagraph"/>
        <w:numPr>
          <w:ilvl w:val="0"/>
          <w:numId w:val="2"/>
        </w:numPr>
        <w:spacing w:after="80" w:before="40"/>
      </w:pPr>
      <w:r>
        <w:rPr>
          <w:rFonts w:ascii="Arial" w:cs="Arial" w:eastAsia="Arial" w:hAnsi="Arial"/>
          <w:b w:val="false"/>
          <w:bCs w:val="false"/>
          <w:color w:val="424242"/>
          <w:sz w:val="22"/>
          <w:szCs w:val="22"/>
        </w:rPr>
        <w:t xml:space="preserve">Lanzamiento del programa de voluntariado a través de los canales digitales de AMO AC.</w:t>
      </w:r>
    </w:p>
    <w:p>
      <w:pPr>
        <w:pStyle w:val="ListParagraph"/>
        <w:numPr>
          <w:ilvl w:val="0"/>
          <w:numId w:val="2"/>
        </w:numPr>
        <w:spacing w:after="80" w:before="40"/>
      </w:pPr>
      <w:r>
        <w:rPr>
          <w:rFonts w:ascii="Arial" w:cs="Arial" w:eastAsia="Arial" w:hAnsi="Arial"/>
          <w:b w:val="false"/>
          <w:bCs w:val="false"/>
          <w:color w:val="424242"/>
          <w:sz w:val="22"/>
          <w:szCs w:val="22"/>
        </w:rPr>
        <w:t xml:space="preserve">Inicio del reclutamiento formal de voluntarios.</w:t>
      </w:r>
    </w:p>
    <w:p>
      <w:pPr>
        <w:pStyle w:val="ListParagraph"/>
        <w:numPr>
          <w:ilvl w:val="0"/>
          <w:numId w:val="2"/>
        </w:numPr>
        <w:spacing w:after="80" w:before="40"/>
      </w:pPr>
      <w:r>
        <w:rPr>
          <w:rFonts w:ascii="Arial" w:cs="Arial" w:eastAsia="Arial" w:hAnsi="Arial"/>
          <w:b w:val="false"/>
          <w:bCs w:val="false"/>
          <w:color w:val="424242"/>
          <w:sz w:val="22"/>
          <w:szCs w:val="22"/>
        </w:rPr>
        <w:t xml:space="preserve">Gestión de convenios de servicio social con instituciones educativas.</w:t>
      </w:r>
    </w:p>
    <w:p>
      <w:pPr>
        <w:spacing w:after="240" w:before="0"/>
      </w:pPr>
      <w:r>
        <w:t xml:space="preserve"/>
      </w:r>
    </w:p>
    <w:p>
      <w:pPr>
        <w:pStyle w:val="Heading1"/>
        <w:pBdr>
          <w:bottom w:val="single" w:color="00796B" w:sz="8" w:space="4"/>
        </w:pBdr>
        <w:spacing w:after="160" w:before="400"/>
      </w:pPr>
      <w:r>
        <w:rPr>
          <w:rFonts w:ascii="Arial" w:cs="Arial" w:eastAsia="Arial" w:hAnsi="Arial"/>
          <w:b/>
          <w:bCs/>
          <w:color w:val="00796B"/>
          <w:sz w:val="32"/>
          <w:szCs w:val="32"/>
        </w:rPr>
        <w:t xml:space="preserve">6. Agenda Institucional y Participación Ciudadana</w:t>
      </w:r>
    </w:p>
    <w:p>
      <w:pPr>
        <w:spacing w:after="100" w:before="60"/>
      </w:pPr>
      <w:r>
        <w:rPr>
          <w:rFonts w:ascii="Arial" w:cs="Arial" w:eastAsia="Arial" w:hAnsi="Arial"/>
          <w:color w:val="424242"/>
          <w:sz w:val="22"/>
          <w:szCs w:val="22"/>
        </w:rPr>
        <w:t xml:space="preserve">Patty comenzó a desarrollar un calendario de actividades institucionales que registra invitaciones a eventos, foros y participaciones ciudadanas relacionados con la discapacidad, inclusión y accesibilidad en Nuevo León.</w:t>
      </w:r>
    </w:p>
    <w:p>
      <w:pPr>
        <w:spacing w:after="100" w:before="60"/>
      </w:pPr>
      <w:r>
        <w:rPr>
          <w:rFonts w:ascii="Arial" w:cs="Arial" w:eastAsia="Arial" w:hAnsi="Arial"/>
          <w:color w:val="424242"/>
          <w:sz w:val="22"/>
          <w:szCs w:val="22"/>
        </w:rPr>
        <w:t xml:space="preserve">El objetivo de este calendario es mantener al equipo informado sobre oportunidades de participación, networking y vinculación con actores clave del ecosistema de discapacidad e inclusión en la región, evaluando en cada caso si la presencia de AMO AC genera valor estratégico.</w:t>
      </w:r>
    </w:p>
    <w:p>
      <w:pPr>
        <w:spacing w:after="240" w:before="0"/>
      </w:pPr>
      <w:r>
        <w:t xml:space="preserve"/>
      </w:r>
    </w:p>
    <w:p>
      <w:r>
        <w:br w:type="page"/>
      </w:r>
    </w:p>
    <w:p>
      <w:pPr>
        <w:pStyle w:val="Heading1"/>
        <w:pBdr>
          <w:bottom w:val="single" w:color="00796B" w:sz="8" w:space="4"/>
        </w:pBdr>
        <w:spacing w:after="160" w:before="400"/>
      </w:pPr>
      <w:r>
        <w:rPr>
          <w:rFonts w:ascii="Arial" w:cs="Arial" w:eastAsia="Arial" w:hAnsi="Arial"/>
          <w:b/>
          <w:bCs/>
          <w:color w:val="00796B"/>
          <w:sz w:val="32"/>
          <w:szCs w:val="32"/>
        </w:rPr>
        <w:t xml:space="preserve">7. Resumen de Avances por Área</w:t>
      </w:r>
    </w:p>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3760"/>
        <w:gridCol w:w="2000"/>
      </w:tblGrid>
      <w:tr>
        <w:tc>
          <w:tcPr>
            <w:tcW w:type="dxa" w:w="360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r>
              <w:rPr>
                <w:rFonts w:ascii="Arial" w:cs="Arial" w:eastAsia="Arial" w:hAnsi="Arial"/>
                <w:b/>
                <w:bCs/>
                <w:color w:val="FFFFFF"/>
                <w:sz w:val="21"/>
                <w:szCs w:val="21"/>
              </w:rPr>
              <w:t xml:space="preserve">Área</w:t>
            </w:r>
          </w:p>
        </w:tc>
        <w:tc>
          <w:tcPr>
            <w:tcW w:type="dxa" w:w="376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r>
              <w:rPr>
                <w:rFonts w:ascii="Arial" w:cs="Arial" w:eastAsia="Arial" w:hAnsi="Arial"/>
                <w:b/>
                <w:bCs/>
                <w:color w:val="FFFFFF"/>
                <w:sz w:val="21"/>
                <w:szCs w:val="21"/>
              </w:rPr>
              <w:t xml:space="preserve">Logro principal</w:t>
            </w:r>
          </w:p>
        </w:tc>
        <w:tc>
          <w:tcPr>
            <w:tcW w:type="dxa" w:w="200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Estado</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424242"/>
                <w:sz w:val="21"/>
                <w:szCs w:val="21"/>
              </w:rPr>
              <w:t xml:space="preserve">Gestión y Administración</w:t>
            </w:r>
          </w:p>
        </w:tc>
        <w:tc>
          <w:tcPr>
            <w:tcW w:type="dxa" w:w="3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Sistema documental ISO 9001 operativo</w:t>
            </w:r>
          </w:p>
        </w:tc>
        <w:tc>
          <w:tcPr>
            <w:tcW w:type="dxa" w:w="20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2E7D32"/>
                <w:sz w:val="20"/>
                <w:szCs w:val="20"/>
              </w:rPr>
              <w:t xml:space="preserve">En desarrollo</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424242"/>
                <w:sz w:val="21"/>
                <w:szCs w:val="21"/>
              </w:rPr>
              <w:t xml:space="preserve">Infraestructura Financiera</w:t>
            </w:r>
          </w:p>
        </w:tc>
        <w:tc>
          <w:tcPr>
            <w:tcW w:type="dxa" w:w="3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Cuentas bancarias y plataformas de pago activas</w:t>
            </w:r>
          </w:p>
        </w:tc>
        <w:tc>
          <w:tcPr>
            <w:tcW w:type="dxa" w:w="20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pPr>
              <w:jc w:val="center"/>
            </w:pPr>
            <w:r>
              <w:rPr>
                <w:rFonts w:ascii="Arial" w:cs="Arial" w:eastAsia="Arial" w:hAnsi="Arial"/>
                <w:b/>
                <w:bCs/>
                <w:color w:val="2E7D32"/>
                <w:sz w:val="20"/>
                <w:szCs w:val="20"/>
              </w:rPr>
              <w:t xml:space="preserve">Completado</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424242"/>
                <w:sz w:val="21"/>
                <w:szCs w:val="21"/>
              </w:rPr>
              <w:t xml:space="preserve">Recaudación de Fondos</w:t>
            </w:r>
          </w:p>
        </w:tc>
        <w:tc>
          <w:tcPr>
            <w:tcW w:type="dxa" w:w="3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Ecosistema de recaudación definido</w:t>
            </w:r>
          </w:p>
        </w:tc>
        <w:tc>
          <w:tcPr>
            <w:tcW w:type="dxa" w:w="20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2E7D32"/>
                <w:sz w:val="20"/>
                <w:szCs w:val="20"/>
              </w:rPr>
              <w:t xml:space="preserve">Completado</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424242"/>
                <w:sz w:val="21"/>
                <w:szCs w:val="21"/>
              </w:rPr>
              <w:t xml:space="preserve">Branding e Identidad</w:t>
            </w:r>
          </w:p>
        </w:tc>
        <w:tc>
          <w:tcPr>
            <w:tcW w:type="dxa" w:w="3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Libro de identidad de marca finalizado</w:t>
            </w:r>
          </w:p>
        </w:tc>
        <w:tc>
          <w:tcPr>
            <w:tcW w:type="dxa" w:w="20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pPr>
              <w:jc w:val="center"/>
            </w:pPr>
            <w:r>
              <w:rPr>
                <w:rFonts w:ascii="Arial" w:cs="Arial" w:eastAsia="Arial" w:hAnsi="Arial"/>
                <w:b/>
                <w:bCs/>
                <w:color w:val="2E7D32"/>
                <w:sz w:val="20"/>
                <w:szCs w:val="20"/>
              </w:rPr>
              <w:t xml:space="preserve">Completado</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424242"/>
                <w:sz w:val="21"/>
                <w:szCs w:val="21"/>
              </w:rPr>
              <w:t xml:space="preserve">Redes Sociales</w:t>
            </w:r>
          </w:p>
        </w:tc>
        <w:tc>
          <w:tcPr>
            <w:tcW w:type="dxa" w:w="3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4 canales activos (IG, TikTok, FB, LinkedIn)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2E7D32"/>
                <w:sz w:val="20"/>
                <w:szCs w:val="20"/>
              </w:rPr>
              <w:t xml:space="preserve">Activo</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424242"/>
                <w:sz w:val="21"/>
                <w:szCs w:val="21"/>
              </w:rPr>
              <w:t xml:space="preserve">Sitio Web</w:t>
            </w:r>
          </w:p>
        </w:tc>
        <w:tc>
          <w:tcPr>
            <w:tcW w:type="dxa" w:w="3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Arquitectura definida, en desarrollo</w:t>
            </w:r>
          </w:p>
        </w:tc>
        <w:tc>
          <w:tcPr>
            <w:tcW w:type="dxa" w:w="20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pPr>
              <w:jc w:val="center"/>
            </w:pPr>
            <w:r>
              <w:rPr>
                <w:rFonts w:ascii="Arial" w:cs="Arial" w:eastAsia="Arial" w:hAnsi="Arial"/>
                <w:b/>
                <w:bCs/>
                <w:color w:val="FF6F00"/>
                <w:sz w:val="20"/>
                <w:szCs w:val="20"/>
              </w:rPr>
              <w:t xml:space="preserve">En proceso</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424242"/>
                <w:sz w:val="21"/>
                <w:szCs w:val="21"/>
              </w:rPr>
              <w:t xml:space="preserve">Vinculación UANL</w:t>
            </w:r>
          </w:p>
        </w:tc>
        <w:tc>
          <w:tcPr>
            <w:tcW w:type="dxa" w:w="3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20 proyectos de diseño universal elaborados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2E7D32"/>
                <w:sz w:val="20"/>
                <w:szCs w:val="20"/>
              </w:rPr>
              <w:t xml:space="preserve">Completado</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424242"/>
                <w:sz w:val="21"/>
                <w:szCs w:val="21"/>
              </w:rPr>
              <w:t xml:space="preserve">Producción de Contenido</w:t>
            </w:r>
          </w:p>
        </w:tc>
        <w:tc>
          <w:tcPr>
            <w:tcW w:type="dxa" w:w="3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Primera grabación realizada</w:t>
            </w:r>
          </w:p>
        </w:tc>
        <w:tc>
          <w:tcPr>
            <w:tcW w:type="dxa" w:w="20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pPr>
              <w:jc w:val="center"/>
            </w:pPr>
            <w:r>
              <w:rPr>
                <w:rFonts w:ascii="Arial" w:cs="Arial" w:eastAsia="Arial" w:hAnsi="Arial"/>
                <w:b/>
                <w:bCs/>
                <w:color w:val="FF6F00"/>
                <w:sz w:val="20"/>
                <w:szCs w:val="20"/>
              </w:rPr>
              <w:t xml:space="preserve">Iniciado</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424242"/>
                <w:sz w:val="21"/>
                <w:szCs w:val="21"/>
              </w:rPr>
              <w:t xml:space="preserve">Donataria Autorizada (SAT)</w:t>
            </w:r>
          </w:p>
        </w:tc>
        <w:tc>
          <w:tcPr>
            <w:tcW w:type="dxa" w:w="3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Proceso iniciado, paso 1 completado</w:t>
            </w:r>
          </w:p>
        </w:tc>
        <w:tc>
          <w:tcPr>
            <w:tcW w:type="dxa" w:w="20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FF6F00"/>
                <w:sz w:val="20"/>
                <w:szCs w:val="20"/>
              </w:rPr>
              <w:t xml:space="preserve">En proceso</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424242"/>
                <w:sz w:val="21"/>
                <w:szCs w:val="21"/>
              </w:rPr>
              <w:t xml:space="preserve">Programa de Voluntariado</w:t>
            </w:r>
          </w:p>
        </w:tc>
        <w:tc>
          <w:tcPr>
            <w:tcW w:type="dxa" w:w="3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Programa diseñado, listo para lanzar</w:t>
            </w:r>
          </w:p>
        </w:tc>
        <w:tc>
          <w:tcPr>
            <w:tcW w:type="dxa" w:w="20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pPr>
              <w:jc w:val="center"/>
            </w:pPr>
            <w:r>
              <w:rPr>
                <w:rFonts w:ascii="Arial" w:cs="Arial" w:eastAsia="Arial" w:hAnsi="Arial"/>
                <w:b/>
                <w:bCs/>
                <w:color w:val="FF6F00"/>
                <w:sz w:val="20"/>
                <w:szCs w:val="20"/>
              </w:rPr>
              <w:t xml:space="preserve">Por lanzar</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424242"/>
                <w:sz w:val="21"/>
                <w:szCs w:val="21"/>
              </w:rPr>
              <w:t xml:space="preserve">Agenda Institucional</w:t>
            </w:r>
          </w:p>
        </w:tc>
        <w:tc>
          <w:tcPr>
            <w:tcW w:type="dxa" w:w="3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Calendario de actividades en operación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pPr>
              <w:jc w:val="center"/>
            </w:pPr>
            <w:r>
              <w:rPr>
                <w:rFonts w:ascii="Arial" w:cs="Arial" w:eastAsia="Arial" w:hAnsi="Arial"/>
                <w:b/>
                <w:bCs/>
                <w:color w:val="2E7D32"/>
                <w:sz w:val="20"/>
                <w:szCs w:val="20"/>
              </w:rPr>
              <w:t xml:space="preserve">Activo</w:t>
            </w:r>
          </w:p>
        </w:tc>
      </w:tr>
    </w:tbl>
    <w:p>
      <w:pPr>
        <w:spacing w:after="360" w:before="0"/>
      </w:pPr>
      <w:r>
        <w:t xml:space="preserve"/>
      </w:r>
    </w:p>
    <w:p>
      <w:r>
        <w:br w:type="page"/>
      </w:r>
    </w:p>
    <w:p>
      <w:pPr>
        <w:pStyle w:val="Heading1"/>
        <w:pBdr>
          <w:bottom w:val="single" w:color="00796B" w:sz="8" w:space="4"/>
        </w:pBdr>
        <w:spacing w:after="160" w:before="400"/>
      </w:pPr>
      <w:r>
        <w:rPr>
          <w:rFonts w:ascii="Arial" w:cs="Arial" w:eastAsia="Arial" w:hAnsi="Arial"/>
          <w:b/>
          <w:bCs/>
          <w:color w:val="00796B"/>
          <w:sz w:val="32"/>
          <w:szCs w:val="32"/>
        </w:rPr>
        <w:t xml:space="preserve">8. Próximos Pasos y Prioridades</w:t>
      </w:r>
    </w:p>
    <w:p>
      <w:pPr>
        <w:spacing w:after="100" w:before="60"/>
      </w:pPr>
      <w:r>
        <w:rPr>
          <w:rFonts w:ascii="Arial" w:cs="Arial" w:eastAsia="Arial" w:hAnsi="Arial"/>
          <w:color w:val="424242"/>
          <w:sz w:val="22"/>
          <w:szCs w:val="22"/>
        </w:rPr>
        <w:t xml:space="preserve">Las siguientes acciones constituyen las prioridades inmediatas de AMO AC para el segundo semestre de 2026:</w:t>
      </w:r>
    </w:p>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5760"/>
        <w:gridCol w:w="3120"/>
      </w:tblGrid>
      <w:tr>
        <w:tc>
          <w:tcPr>
            <w:tcW w:type="dxa" w:w="480"/>
            <w:tcBorders>
              <w:top w:val="single" w:color="CCCCCC" w:sz="1"/>
              <w:left w:val="single" w:color="CCCCCC" w:sz="1"/>
              <w:bottom w:val="single" w:color="CCCCCC" w:sz="1"/>
              <w:right w:val="single" w:color="CCCCCC" w:sz="1"/>
            </w:tcBorders>
            <w:shd w:fill="00796B" w:val="clear"/>
            <w:tcMar>
              <w:top w:type="dxa" w:w="100"/>
              <w:left w:type="dxa" w:w="120"/>
              <w:bottom w:type="dxa" w:w="100"/>
              <w:right w:type="dxa" w:w="120"/>
            </w:tcMar>
          </w:tcPr>
          <w:p>
            <w:pPr>
              <w:jc w:val="center"/>
            </w:pPr>
            <w:r>
              <w:rPr>
                <w:rFonts w:ascii="Arial" w:cs="Arial" w:eastAsia="Arial" w:hAnsi="Arial"/>
                <w:b/>
                <w:bCs/>
                <w:color w:val="FFFFFF"/>
                <w:sz w:val="21"/>
                <w:szCs w:val="21"/>
              </w:rPr>
              <w:t xml:space="preserve">#</w:t>
            </w:r>
          </w:p>
        </w:tc>
        <w:tc>
          <w:tcPr>
            <w:tcW w:type="dxa" w:w="576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r>
              <w:rPr>
                <w:rFonts w:ascii="Arial" w:cs="Arial" w:eastAsia="Arial" w:hAnsi="Arial"/>
                <w:b/>
                <w:bCs/>
                <w:color w:val="FFFFFF"/>
                <w:sz w:val="21"/>
                <w:szCs w:val="21"/>
              </w:rPr>
              <w:t xml:space="preserve">Acción prioritaria</w:t>
            </w:r>
          </w:p>
        </w:tc>
        <w:tc>
          <w:tcPr>
            <w:tcW w:type="dxa" w:w="3120"/>
            <w:tcBorders>
              <w:top w:val="single" w:color="CCCCCC" w:sz="1"/>
              <w:left w:val="single" w:color="CCCCCC" w:sz="1"/>
              <w:bottom w:val="single" w:color="CCCCCC" w:sz="1"/>
              <w:right w:val="single" w:color="CCCCCC" w:sz="1"/>
            </w:tcBorders>
            <w:shd w:fill="00796B" w:val="clear"/>
            <w:tcMar>
              <w:top w:type="dxa" w:w="100"/>
              <w:left w:type="dxa" w:w="160"/>
              <w:bottom w:type="dxa" w:w="100"/>
              <w:right w:type="dxa" w:w="160"/>
            </w:tcMar>
          </w:tcPr>
          <w:p>
            <w:r>
              <w:rPr>
                <w:rFonts w:ascii="Arial" w:cs="Arial" w:eastAsia="Arial" w:hAnsi="Arial"/>
                <w:b/>
                <w:bCs/>
                <w:color w:val="FFFFFF"/>
                <w:sz w:val="21"/>
                <w:szCs w:val="21"/>
              </w:rPr>
              <w:t xml:space="preserve">Responsable</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1</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Lanzamiento del Programa de Voluntariado en redes sociales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Marisa Cano / Fátima Núñez</w:t>
            </w:r>
          </w:p>
        </w:tc>
      </w:tr>
      <w:tr>
        <w:tc>
          <w:tcPr>
            <w:tcW w:type="dxa" w:w="4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2</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Reclutamiento de los primeros voluntarios de AMO AC</w:t>
            </w:r>
          </w:p>
        </w:tc>
        <w:tc>
          <w:tcPr>
            <w:tcW w:type="dxa" w:w="312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Marisa Cano / Fátima Núñez</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3</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Evaluación de los 20 proyectos UANL por el consejo interno y selección de 3 a 5 proyectos prioritarios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Consejo Interno</w:t>
            </w:r>
          </w:p>
        </w:tc>
      </w:tr>
      <w:tr>
        <w:tc>
          <w:tcPr>
            <w:tcW w:type="dxa" w:w="4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4</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Lanzamiento de la primera campaña de recaudación: Sorteo AMO AC</w:t>
            </w:r>
          </w:p>
        </w:tc>
        <w:tc>
          <w:tcPr>
            <w:tcW w:type="dxa" w:w="312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Equipo AMO AC</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5</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Coordinación de sesión con Junta de Beneficencia de Nuevo León para proceso de donataria</w:t>
            </w:r>
          </w:p>
        </w:tc>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GG</w:t>
            </w:r>
          </w:p>
        </w:tc>
      </w:tr>
      <w:tr>
        <w:tc>
          <w:tcPr>
            <w:tcW w:type="dxa" w:w="4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6</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Gestión de cartas de acreditación (Junta de Beneficencia + Secretaría de Igualdad)</w:t>
            </w:r>
          </w:p>
        </w:tc>
        <w:tc>
          <w:tcPr>
            <w:tcW w:type="dxa" w:w="312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GG</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7</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Exploración y firma de convenios de servicio social con ITESM y UANL</w:t>
            </w:r>
          </w:p>
        </w:tc>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GG / Carmen Coronado</w:t>
            </w:r>
          </w:p>
        </w:tc>
      </w:tr>
      <w:tr>
        <w:tc>
          <w:tcPr>
            <w:tcW w:type="dxa" w:w="4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8</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Lanzamiento del sitio web institucional de AMO AC</w:t>
            </w:r>
          </w:p>
        </w:tc>
        <w:tc>
          <w:tcPr>
            <w:tcW w:type="dxa" w:w="312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424242"/>
                <w:sz w:val="21"/>
                <w:szCs w:val="21"/>
              </w:rPr>
              <w:t xml:space="preserve">Equipo AMO AC</w:t>
            </w:r>
          </w:p>
        </w:tc>
      </w:tr>
      <w:tr>
        <w:tc>
          <w:tcPr>
            <w:tcW w:type="dxa" w:w="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Arial" w:cs="Arial" w:eastAsia="Arial" w:hAnsi="Arial"/>
                <w:b/>
                <w:bCs/>
                <w:color w:val="00796B"/>
                <w:sz w:val="21"/>
                <w:szCs w:val="21"/>
              </w:rPr>
              <w:t xml:space="preserve">9</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Continuar con la producción de contenido audiovisual para redes sociales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424242"/>
                <w:sz w:val="21"/>
                <w:szCs w:val="21"/>
              </w:rPr>
              <w:t xml:space="preserve">Marisa Cano / Fátima Núñez</w:t>
            </w:r>
          </w:p>
        </w:tc>
      </w:tr>
    </w:tbl>
    <w:p>
      <w:pPr>
        <w:spacing w:after="360" w:before="0"/>
      </w:pPr>
      <w:r>
        <w:t xml:space="preserve"/>
      </w:r>
    </w:p>
    <w:p>
      <w:r>
        <w:br w:type="page"/>
      </w:r>
    </w:p>
    <w:p>
      <w:pPr>
        <w:pStyle w:val="Heading1"/>
        <w:pBdr>
          <w:bottom w:val="single" w:color="00796B" w:sz="8" w:space="4"/>
        </w:pBdr>
        <w:spacing w:after="160" w:before="400"/>
      </w:pPr>
      <w:r>
        <w:rPr>
          <w:rFonts w:ascii="Arial" w:cs="Arial" w:eastAsia="Arial" w:hAnsi="Arial"/>
          <w:b/>
          <w:bCs/>
          <w:color w:val="00796B"/>
          <w:sz w:val="32"/>
          <w:szCs w:val="32"/>
        </w:rPr>
        <w:t xml:space="preserve">Cierre</w:t>
      </w:r>
    </w:p>
    <w:p>
      <w:pPr>
        <w:spacing w:after="100" w:before="60"/>
      </w:pPr>
      <w:r>
        <w:rPr>
          <w:rFonts w:ascii="Arial" w:cs="Arial" w:eastAsia="Arial" w:hAnsi="Arial"/>
          <w:color w:val="424242"/>
          <w:sz w:val="22"/>
          <w:szCs w:val="22"/>
        </w:rPr>
        <w:t xml:space="preserve">Los avances documentados en este reporte reflejan el esfuerzo colectivo de todas las personas que conforman el equipo de Accesibilidad en Movimiento. En pocos meses hemos sentado bases sólidas en cuatro dimensiones esenciales para cualquier organización: estructura interna, identidad y comunicación, vinculación estratégica y sostenibilidad financiera.</w:t>
      </w:r>
    </w:p>
    <w:p>
      <w:pPr>
        <w:spacing w:after="100" w:before="60"/>
      </w:pPr>
      <w:r>
        <w:rPr>
          <w:rFonts w:ascii="Arial" w:cs="Arial" w:eastAsia="Arial" w:hAnsi="Arial"/>
          <w:color w:val="424242"/>
          <w:sz w:val="22"/>
          <w:szCs w:val="22"/>
        </w:rPr>
        <w:t xml:space="preserve">Los retos que vienen —el lanzamiento del voluntariado, los primeros proyectos ejecutados bajo Hogar sin Barreras, la primera campaña de recaudación y el proceso de donataria— representan el paso natural de una organización que ha madurado su operación y está lista para hacer visible su impacto.</w:t>
      </w:r>
    </w:p>
    <w:p>
      <w:pPr>
        <w:spacing w:after="100" w:before="60"/>
      </w:pPr>
      <w:r>
        <w:rPr>
          <w:rFonts w:ascii="Arial" w:cs="Arial" w:eastAsia="Arial" w:hAnsi="Arial"/>
          <w:color w:val="424242"/>
          <w:sz w:val="22"/>
          <w:szCs w:val="22"/>
        </w:rPr>
        <w:t xml:space="preserve">Agradecemos el compromiso de cada asociado, colaborador y aliado que ha hecho posible este camino. El trabajo de AMO AC es, en última instancia, el trabajo de creer que un espacio más accesible es un mundo más justo.</w:t>
      </w:r>
    </w:p>
    <w:p>
      <w:pPr>
        <w:spacing w:after="240" w:before="0"/>
      </w:pPr>
      <w:r>
        <w:t xml:space="preserve"/>
      </w:r>
    </w:p>
    <w:p>
      <w:pPr>
        <w:pBdr>
          <w:top w:val="single" w:color="B2DFDB" w:sz="6" w:space="8"/>
        </w:pBdr>
        <w:spacing w:after="80" w:before="400"/>
        <w:jc w:val="center"/>
      </w:pPr>
      <w:r>
        <w:rPr>
          <w:rFonts w:ascii="Arial" w:cs="Arial" w:eastAsia="Arial" w:hAnsi="Arial"/>
          <w:b/>
          <w:bCs/>
          <w:color w:val="00796B"/>
          <w:sz w:val="20"/>
          <w:szCs w:val="20"/>
        </w:rPr>
        <w:t xml:space="preserve">ACCESIBILIDAD EN MOVIMIENTO  —  AMO AC  —  2026</w:t>
      </w:r>
    </w:p>
    <w:p>
      <w:pPr>
        <w:spacing w:after="0" w:before="0"/>
        <w:jc w:val="center"/>
      </w:pPr>
      <w:r>
        <w:rPr>
          <w:rFonts w:ascii="Arial" w:cs="Arial" w:eastAsia="Arial" w:hAnsi="Arial"/>
          <w:i/>
          <w:iCs/>
          <w:color w:val="AAAAAA"/>
          <w:sz w:val="18"/>
          <w:szCs w:val="18"/>
        </w:rPr>
        <w:t xml:space="preserve">Documento de uso interno. Prohibida su reproducción sin autorización.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2DFDB" w:sz="6" w:space="4"/>
      </w:pBdr>
      <w:jc w:val="center"/>
    </w:pPr>
    <w:r>
      <w:rPr>
        <w:rFonts w:ascii="Arial" w:cs="Arial" w:eastAsia="Arial" w:hAnsi="Arial"/>
        <w:color w:val="999999"/>
        <w:sz w:val="16"/>
        <w:szCs w:val="16"/>
      </w:rPr>
      <w:t xml:space="preserve">Documento confidencial — Uso interno | </w:t>
    </w:r>
    <w:r>
      <w:rPr>
        <w:rFonts w:ascii="Arial" w:cs="Arial" w:eastAsia="Arial" w:hAnsi="Arial"/>
        <w:color w:val="999999"/>
        <w:sz w:val="16"/>
        <w:szCs w:val="16"/>
      </w:rPr>
      <w:t xml:space="preserve">Página </w:t>
    </w:r>
    <w:fldSimple w:instr="PAG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796B" w:sz="6" w:space="4"/>
      </w:pBdr>
      <w:tabs>
        <w:tab w:val="right" w:pos="9360"/>
      </w:tabs>
    </w:pPr>
    <w:r>
      <w:rPr>
        <w:rFonts w:ascii="Arial" w:cs="Arial" w:eastAsia="Arial" w:hAnsi="Arial"/>
        <w:b/>
        <w:bCs/>
        <w:color w:val="00796B"/>
        <w:sz w:val="18"/>
        <w:szCs w:val="18"/>
      </w:rPr>
      <w:t xml:space="preserve">Accesibilidad en Movimiento  |  AMO AC</w:t>
    </w:r>
    <w:r>
      <w:rPr>
        <w:sz w:val="18"/>
        <w:szCs w:val="18"/>
      </w:rPr>
      <w:t xml:space="preserve">	</w:t>
    </w:r>
    <w:r>
      <w:rPr>
        <w:rFonts w:ascii="Arial" w:cs="Arial" w:eastAsia="Arial" w:hAnsi="Arial"/>
        <w:color w:val="999999"/>
        <w:sz w:val="18"/>
        <w:szCs w:val="18"/>
      </w:rPr>
      <w:t xml:space="preserve">Reporte de Avances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00796B"/>
      <w:sz w:val="32"/>
      <w:szCs w:val="32"/>
    </w:rPr>
  </w:style>
  <w:style w:type="paragraph" w:styleId="Heading2">
    <w:name w:val="Heading 2"/>
    <w:basedOn w:val="Normal"/>
    <w:next w:val="Normal"/>
    <w:qFormat/>
    <w:pPr>
      <w:spacing w:after="120" w:before="320"/>
      <w:outlineLvl w:val="1"/>
    </w:pPr>
    <w:rPr>
      <w:rFonts w:ascii="Arial" w:cs="Arial" w:eastAsia="Arial" w:hAnsi="Arial"/>
      <w:b/>
      <w:bCs/>
      <w:color w:val="00796B"/>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2026-06-16T19:20:03.174Z</dcterms:created>
  <dcterms:modified xsi:type="dcterms:W3CDTF">2026-06-16T19:20:03.175Z</dcterms:modified>
</cp:coreProperties>
</file>

<file path=docProps/custom.xml><?xml version="1.0" encoding="utf-8"?>
<Properties xmlns="http://schemas.openxmlformats.org/officeDocument/2006/custom-properties" xmlns:vt="http://schemas.openxmlformats.org/officeDocument/2006/docPropsVTypes"/>
</file>